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spacing w:val="0"/>
          <w:w w:val="100"/>
          <w:lang w:val="en-US" w:eastAsia="zh-CN"/>
        </w:rPr>
      </w:pPr>
      <w:r>
        <w:rPr>
          <w:rFonts w:hint="eastAsia" w:ascii="方正小标宋简体" w:hAnsi="方正小标宋简体" w:eastAsia="方正小标宋简体" w:cs="方正小标宋简体"/>
          <w:spacing w:val="0"/>
          <w:w w:val="100"/>
        </w:rPr>
        <w:t>莆田市市场监督管理局</w:t>
      </w:r>
    </w:p>
    <w:p>
      <w:pPr>
        <w:pStyle w:val="2"/>
        <w:rPr>
          <w:rFonts w:hint="eastAsia" w:ascii="方正小标宋简体" w:hAnsi="方正小标宋简体" w:eastAsia="方正小标宋简体" w:cs="方正小标宋简体"/>
          <w:spacing w:val="0"/>
          <w:w w:val="100"/>
        </w:rPr>
      </w:pPr>
      <w:r>
        <w:rPr>
          <w:rFonts w:hint="eastAsia" w:ascii="方正小标宋简体" w:hAnsi="方正小标宋简体" w:eastAsia="方正小标宋简体" w:cs="方正小标宋简体"/>
          <w:spacing w:val="0"/>
          <w:w w:val="100"/>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157" w:beforeLines="50" w:after="157" w:afterLines="50" w:line="560" w:lineRule="exact"/>
        <w:jc w:val="center"/>
        <w:textAlignment w:val="baseline"/>
        <w:rPr>
          <w:rFonts w:hint="eastAsia" w:ascii="仿宋" w:hAnsi="仿宋" w:eastAsia="仿宋" w:cs="仿宋"/>
          <w:spacing w:val="0"/>
          <w:w w:val="100"/>
          <w:sz w:val="32"/>
          <w:szCs w:val="32"/>
        </w:rPr>
      </w:pPr>
      <w:r>
        <w:rPr>
          <w:rFonts w:hint="eastAsia" w:ascii="仿宋" w:hAnsi="仿宋" w:eastAsia="仿宋" w:cs="仿宋"/>
          <w:spacing w:val="0"/>
          <w:w w:val="100"/>
          <w:sz w:val="32"/>
          <w:szCs w:val="32"/>
          <w:lang w:val="en-US" w:eastAsia="zh-CN"/>
        </w:rPr>
        <w:t>莆市监处罚〔2023〕07050004号</w:t>
      </w:r>
    </w:p>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Times New Roman"/>
          <w:color w:val="000000"/>
          <w:sz w:val="32"/>
          <w:szCs w:val="32"/>
          <w:lang w:val="en-US"/>
        </w:rPr>
      </w:pPr>
      <w:r>
        <w:rPr>
          <w:rFonts w:hint="eastAsia" w:ascii="仿宋_GB2312" w:hAnsi="仿宋_GB2312" w:eastAsia="仿宋_GB2312" w:cs="仿宋_GB2312"/>
          <w:snapToGrid w:val="0"/>
          <w:color w:val="000000"/>
          <w:kern w:val="2"/>
          <w:sz w:val="32"/>
          <w:szCs w:val="32"/>
          <w:lang w:val="en-US" w:eastAsia="zh-CN" w:bidi="ar"/>
        </w:rPr>
        <w:t>当事人：</w:t>
      </w:r>
      <w:r>
        <w:rPr>
          <w:rFonts w:hint="eastAsia" w:ascii="仿宋" w:hAnsi="仿宋" w:eastAsia="仿宋" w:cs="仿宋"/>
          <w:snapToGrid w:val="0"/>
          <w:color w:val="000000"/>
          <w:kern w:val="2"/>
          <w:sz w:val="32"/>
          <w:szCs w:val="32"/>
          <w:lang w:val="en-US" w:eastAsia="zh-CN" w:bidi="ar"/>
        </w:rPr>
        <w:t>莆田市城厢区东海柒玖新天意超市</w:t>
      </w:r>
    </w:p>
    <w:p>
      <w:pPr>
        <w:keepNext w:val="0"/>
        <w:keepLines w:val="0"/>
        <w:widowControl w:val="0"/>
        <w:suppressLineNumbers w:val="0"/>
        <w:spacing w:before="0" w:beforeAutospacing="0" w:after="0" w:afterAutospacing="0" w:line="480" w:lineRule="exact"/>
        <w:ind w:left="0" w:right="0"/>
        <w:jc w:val="both"/>
        <w:rPr>
          <w:rFonts w:hint="eastAsia" w:ascii="仿宋_GB2312" w:hAnsi="仿宋_GB2312" w:eastAsia="仿宋_GB2312" w:cs="Times New Roman"/>
          <w:color w:val="000000"/>
          <w:sz w:val="32"/>
          <w:szCs w:val="32"/>
          <w:lang w:val="en-US"/>
        </w:rPr>
      </w:pPr>
      <w:r>
        <w:rPr>
          <w:rFonts w:hint="eastAsia" w:ascii="仿宋_GB2312" w:hAnsi="仿宋_GB2312" w:eastAsia="仿宋_GB2312" w:cs="仿宋_GB2312"/>
          <w:snapToGrid w:val="0"/>
          <w:color w:val="000000"/>
          <w:kern w:val="2"/>
          <w:sz w:val="32"/>
          <w:szCs w:val="32"/>
          <w:lang w:val="en-US" w:eastAsia="zh-CN" w:bidi="ar"/>
        </w:rPr>
        <w:t>统一社会信用代码：</w:t>
      </w:r>
      <w:r>
        <w:rPr>
          <w:rFonts w:hint="eastAsia" w:ascii="仿宋" w:hAnsi="仿宋" w:eastAsia="仿宋" w:cs="仿宋"/>
          <w:snapToGrid w:val="0"/>
          <w:color w:val="000000"/>
          <w:kern w:val="2"/>
          <w:sz w:val="32"/>
          <w:szCs w:val="32"/>
          <w:lang w:val="en-US" w:eastAsia="zh-CN" w:bidi="ar"/>
        </w:rPr>
        <w:t>92350302MA2YQQPG49</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sz w:val="32"/>
          <w:szCs w:val="32"/>
          <w:lang w:val="en-US"/>
        </w:rPr>
      </w:pPr>
      <w:r>
        <w:rPr>
          <w:rFonts w:hint="eastAsia" w:ascii="仿宋" w:hAnsi="仿宋" w:eastAsia="仿宋" w:cs="仿宋"/>
          <w:snapToGrid w:val="0"/>
          <w:color w:val="000000"/>
          <w:kern w:val="2"/>
          <w:sz w:val="32"/>
          <w:szCs w:val="32"/>
          <w:lang w:val="en-US" w:eastAsia="zh-CN" w:bidi="ar"/>
        </w:rPr>
        <w:t>经营场所：</w:t>
      </w:r>
      <w:bookmarkStart w:id="3" w:name="_GoBack"/>
      <w:bookmarkEnd w:id="3"/>
      <w:r>
        <w:rPr>
          <w:rFonts w:hint="eastAsia" w:ascii="仿宋" w:hAnsi="仿宋" w:eastAsia="仿宋" w:cs="仿宋"/>
          <w:snapToGrid w:val="0"/>
          <w:color w:val="000000"/>
          <w:kern w:val="2"/>
          <w:sz w:val="32"/>
          <w:szCs w:val="32"/>
          <w:lang w:val="en-US" w:eastAsia="zh-CN" w:bidi="ar"/>
        </w:rPr>
        <w:t>莆田市城厢区东海镇东海东大道165号</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sz w:val="32"/>
          <w:szCs w:val="32"/>
          <w:lang w:val="en-US"/>
        </w:rPr>
      </w:pPr>
      <w:r>
        <w:rPr>
          <w:rFonts w:hint="eastAsia" w:ascii="仿宋" w:hAnsi="仿宋" w:eastAsia="仿宋" w:cs="仿宋"/>
          <w:snapToGrid w:val="0"/>
          <w:color w:val="000000"/>
          <w:kern w:val="2"/>
          <w:sz w:val="32"/>
          <w:szCs w:val="32"/>
          <w:lang w:val="en-US" w:eastAsia="zh-CN" w:bidi="ar"/>
        </w:rPr>
        <w:t>经营者：罗贤成</w:t>
      </w:r>
    </w:p>
    <w:p>
      <w:pPr>
        <w:keepNext w:val="0"/>
        <w:keepLines w:val="0"/>
        <w:widowControl w:val="0"/>
        <w:suppressLineNumbers w:val="0"/>
        <w:spacing w:before="0" w:beforeAutospacing="0" w:after="0" w:afterAutospacing="0" w:line="480" w:lineRule="exact"/>
        <w:ind w:left="0" w:right="0"/>
        <w:jc w:val="both"/>
        <w:rPr>
          <w:rFonts w:hint="default" w:ascii="仿宋_GB2312" w:hAnsi="仿宋_GB2312" w:eastAsia="仿宋_GB2312" w:cs="Times New Roman"/>
          <w:color w:val="000000"/>
          <w:sz w:val="32"/>
          <w:szCs w:val="32"/>
          <w:lang w:val="en-US"/>
        </w:rPr>
      </w:pPr>
      <w:r>
        <w:rPr>
          <w:rFonts w:hint="eastAsia" w:ascii="仿宋" w:hAnsi="仿宋" w:eastAsia="仿宋" w:cs="仿宋"/>
          <w:snapToGrid w:val="0"/>
          <w:color w:val="000000"/>
          <w:kern w:val="2"/>
          <w:sz w:val="32"/>
          <w:szCs w:val="32"/>
          <w:lang w:val="en-US" w:eastAsia="zh-CN" w:bidi="ar"/>
        </w:rPr>
        <w:t xml:space="preserve">公民身份号码： </w:t>
      </w:r>
    </w:p>
    <w:p>
      <w:pPr>
        <w:keepNext w:val="0"/>
        <w:keepLines w:val="0"/>
        <w:widowControl w:val="0"/>
        <w:suppressLineNumbers w:val="0"/>
        <w:adjustRightInd w:val="0"/>
        <w:spacing w:before="0" w:beforeAutospacing="0" w:after="0" w:afterAutospacing="0" w:line="480" w:lineRule="exact"/>
        <w:ind w:left="0" w:right="0"/>
        <w:jc w:val="both"/>
        <w:textAlignment w:val="baseline"/>
        <w:rPr>
          <w:rFonts w:hint="default" w:ascii="仿宋_GB2312" w:hAnsi="??" w:eastAsia="仿宋_GB2312" w:cs="Times New Roman"/>
          <w:sz w:val="32"/>
          <w:szCs w:val="32"/>
          <w:vertAlign w:val="baseline"/>
          <w:lang w:val="en-US"/>
        </w:rPr>
      </w:pPr>
      <w:r>
        <w:rPr>
          <w:rFonts w:hint="eastAsia" w:ascii="仿宋_GB2312" w:hAnsi="仿宋_GB2312" w:eastAsia="仿宋_GB2312" w:cs="仿宋_GB2312"/>
          <w:snapToGrid w:val="0"/>
          <w:color w:val="000000"/>
          <w:kern w:val="2"/>
          <w:sz w:val="32"/>
          <w:szCs w:val="32"/>
          <w:vertAlign w:val="baseline"/>
          <w:lang w:val="en-US" w:eastAsia="zh-CN" w:bidi="ar"/>
        </w:rPr>
        <w:t>联系电话：</w:t>
      </w:r>
      <w:r>
        <w:rPr>
          <w:rFonts w:hint="eastAsia" w:ascii="仿宋" w:hAnsi="仿宋" w:eastAsia="仿宋" w:cs="仿宋"/>
          <w:snapToGrid w:val="0"/>
          <w:color w:val="000000"/>
          <w:kern w:val="2"/>
          <w:sz w:val="32"/>
          <w:szCs w:val="32"/>
          <w:vertAlign w:val="baseline"/>
          <w:lang w:val="en-US" w:eastAsia="zh-CN" w:bidi="ar"/>
        </w:rPr>
        <w:t xml:space="preserve"> </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sz w:val="32"/>
          <w:szCs w:val="32"/>
          <w:lang w:val="en-US"/>
        </w:rPr>
      </w:pPr>
      <w:r>
        <w:rPr>
          <w:rFonts w:hint="eastAsia" w:ascii="仿宋" w:hAnsi="仿宋" w:eastAsia="仿宋" w:cs="仿宋"/>
          <w:snapToGrid w:val="0"/>
          <w:color w:val="000000"/>
          <w:kern w:val="2"/>
          <w:sz w:val="32"/>
          <w:szCs w:val="32"/>
          <w:lang w:val="en-US" w:eastAsia="zh-CN" w:bidi="ar"/>
        </w:rPr>
        <w:t xml:space="preserve">    2023年06月07日，我局依法对当事人现场送达《食品安全抽检检验结果通知书》及《检验报告》（NO: FS20230504620)，当事人于2023年5月3日销售的“红茄”经抽检不符合企业标准要求（不合格项目：噻虫按 mg/kg，标准≦0.05，实测值0.21，检验依据：GB2763-2021(食品安全国家标准 食品中农药最大残留限量）。</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sz w:val="32"/>
          <w:szCs w:val="32"/>
          <w:lang w:val="en-US"/>
        </w:rPr>
      </w:pPr>
      <w:r>
        <w:rPr>
          <w:rFonts w:hint="eastAsia" w:ascii="仿宋" w:hAnsi="仿宋" w:eastAsia="仿宋" w:cs="仿宋"/>
          <w:snapToGrid w:val="0"/>
          <w:color w:val="000000"/>
          <w:kern w:val="2"/>
          <w:sz w:val="32"/>
          <w:szCs w:val="32"/>
          <w:lang w:val="en-US" w:eastAsia="zh-CN" w:bidi="ar"/>
        </w:rPr>
        <w:t xml:space="preserve">    当事人上述行为涉嫌违反《中华人民共和国食品安全法》的相关规定。依据《市场监督管理行政处罚程序规定》第十八、十九条的规定，经局领导批准，本局于2023年6月07日予以立案调查。</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kern w:val="21"/>
          <w:sz w:val="32"/>
          <w:szCs w:val="32"/>
          <w:lang w:val="en-US"/>
        </w:rPr>
      </w:pPr>
      <w:r>
        <w:rPr>
          <w:rFonts w:hint="eastAsia" w:ascii="仿宋" w:hAnsi="仿宋" w:eastAsia="仿宋" w:cs="仿宋"/>
          <w:snapToGrid w:val="0"/>
          <w:color w:val="000000"/>
          <w:kern w:val="21"/>
          <w:sz w:val="32"/>
          <w:szCs w:val="32"/>
          <w:lang w:val="en-US" w:eastAsia="zh-CN" w:bidi="ar"/>
        </w:rPr>
        <w:t xml:space="preserve">    2023年6月7日，厦门中集信检测技术有限公司对当事人经营的“红茄”进行监督抽样。经检验，红茄“噻虫按”项目不符合GB2763-2021(食品安全国家标准 食品中农药最大残留限量）要求，检验结论为不合格（报告编号：NO: FS20230504620），不合格项目：“噻虫按”（单位：噻虫按 mg/kg，标准≦0.05，实测值0.21）。</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kern w:val="21"/>
          <w:sz w:val="32"/>
          <w:szCs w:val="32"/>
          <w:lang w:val="en-US"/>
        </w:rPr>
      </w:pPr>
      <w:r>
        <w:rPr>
          <w:rFonts w:hint="eastAsia" w:ascii="仿宋" w:hAnsi="仿宋" w:eastAsia="仿宋" w:cs="仿宋"/>
          <w:snapToGrid w:val="0"/>
          <w:color w:val="000000"/>
          <w:kern w:val="21"/>
          <w:sz w:val="32"/>
          <w:szCs w:val="32"/>
          <w:lang w:val="en-US" w:eastAsia="zh-CN" w:bidi="ar"/>
        </w:rPr>
        <w:t xml:space="preserve">    经查，当事人经取得营业执照，在莆田市城厢区东海镇东海东大道165号从事经营活动。当事人于2023年4月26日晋江市池店镇王城胜蔬菜店每公斤4.8元的价格购进17.5公斤红茄，于2023年05月01日从晋江市池店镇王城胜蔬菜店以每公斤3.6元的价格购进16.5公斤红茄。截止2023年06月07日，当事人以每公斤7.96元的价格对外销售上述2批次“红茄”共计34公斤。综上，以不合格“红茄”抽样基数24.5公斤计算，当事人销售上述不合格“红茄”货值经营共计195.02元，违法所得97.22元。当事人采购相关批次“红茄”过程中履行了进货查验义务，能够提供销售单据和供货者的营业执照。</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Times New Roman"/>
          <w:kern w:val="21"/>
          <w:sz w:val="32"/>
          <w:szCs w:val="32"/>
          <w:lang w:val="en-US"/>
        </w:rPr>
      </w:pPr>
      <w:r>
        <w:rPr>
          <w:rFonts w:hint="eastAsia" w:ascii="仿宋" w:hAnsi="仿宋" w:eastAsia="仿宋" w:cs="仿宋"/>
          <w:snapToGrid w:val="0"/>
          <w:color w:val="000000"/>
          <w:kern w:val="21"/>
          <w:sz w:val="32"/>
          <w:szCs w:val="32"/>
          <w:lang w:val="en-US" w:eastAsia="zh-CN" w:bidi="ar"/>
        </w:rPr>
        <w:t xml:space="preserve">    另查明， 当事人于2023年6月1日儿童节期间，发布了含有“一次性消费58元，即送50元0门槛抵用券”的活动，该活动规则为一次性消费满58元，可获赠10张5元电子消费券，每张5元电子消费券需要另外消费满58元才可使用，于其宣传的0门槛不相符。上述广告由当事人自行设计，并委托泉州博艺印刷有限公司公司印刷，由当事人在其经营场所发布，其相关的广告制作费用为120元。</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_GB2312" w:hAnsi="仿宋_GB2312" w:eastAsia="仿宋_GB2312" w:cs="Times New Roman"/>
          <w:color w:val="000000"/>
          <w:sz w:val="32"/>
          <w:szCs w:val="32"/>
          <w:lang w:val="en-US"/>
        </w:rPr>
      </w:pPr>
      <w:r>
        <w:rPr>
          <w:rFonts w:hint="eastAsia" w:ascii="仿宋_GB2312" w:hAnsi="仿宋_GB2312" w:eastAsia="仿宋_GB2312" w:cs="仿宋_GB2312"/>
          <w:snapToGrid w:val="0"/>
          <w:color w:val="000000"/>
          <w:kern w:val="2"/>
          <w:sz w:val="32"/>
          <w:szCs w:val="32"/>
          <w:lang w:val="en-US" w:eastAsia="zh-CN" w:bidi="ar"/>
        </w:rPr>
        <w:t>上述事实，主要有以下证据证明：</w:t>
      </w:r>
      <w:r>
        <w:rPr>
          <w:rFonts w:hint="eastAsia" w:ascii="仿宋" w:hAnsi="仿宋" w:eastAsia="仿宋" w:cs="仿宋"/>
          <w:snapToGrid w:val="0"/>
          <w:color w:val="000000"/>
          <w:kern w:val="21"/>
          <w:sz w:val="32"/>
          <w:szCs w:val="32"/>
          <w:lang w:val="en-US" w:eastAsia="zh-CN" w:bidi="ar"/>
        </w:rPr>
        <w:t>福建省产品质量检验研究所《检验报告》（编号：NO: FS20230504620）1份、</w:t>
      </w:r>
      <w:r>
        <w:rPr>
          <w:rFonts w:hint="eastAsia" w:ascii="仿宋" w:hAnsi="仿宋" w:eastAsia="仿宋" w:cs="仿宋"/>
          <w:snapToGrid w:val="0"/>
          <w:color w:val="000000"/>
          <w:kern w:val="2"/>
          <w:sz w:val="32"/>
          <w:szCs w:val="32"/>
          <w:lang w:val="en-US" w:eastAsia="zh-CN" w:bidi="ar"/>
        </w:rPr>
        <w:t>现场检查笔录1份</w:t>
      </w:r>
      <w:r>
        <w:rPr>
          <w:rFonts w:hint="eastAsia" w:ascii="仿宋_GB2312" w:hAnsi="仿宋_GB2312" w:eastAsia="仿宋_GB2312" w:cs="仿宋_GB2312"/>
          <w:snapToGrid w:val="0"/>
          <w:color w:val="000000"/>
          <w:kern w:val="2"/>
          <w:sz w:val="32"/>
          <w:szCs w:val="32"/>
          <w:lang w:val="en-US" w:eastAsia="zh-CN" w:bidi="ar"/>
        </w:rPr>
        <w:t>、</w:t>
      </w:r>
      <w:r>
        <w:rPr>
          <w:rFonts w:hint="eastAsia" w:ascii="仿宋" w:hAnsi="仿宋" w:eastAsia="仿宋" w:cs="仿宋"/>
          <w:snapToGrid w:val="0"/>
          <w:color w:val="000000"/>
          <w:kern w:val="2"/>
          <w:sz w:val="32"/>
          <w:szCs w:val="32"/>
          <w:lang w:val="en-US" w:eastAsia="zh-CN" w:bidi="ar"/>
        </w:rPr>
        <w:t>询问笔录3份、当事人营业执照、法定代表人、受委托人身份证复印件及授权委托书各1份</w:t>
      </w:r>
      <w:r>
        <w:rPr>
          <w:rFonts w:hint="eastAsia" w:ascii="仿宋_GB2312" w:hAnsi="仿宋_GB2312" w:eastAsia="仿宋_GB2312" w:cs="仿宋_GB2312"/>
          <w:snapToGrid w:val="0"/>
          <w:color w:val="000000"/>
          <w:kern w:val="2"/>
          <w:sz w:val="32"/>
          <w:szCs w:val="32"/>
          <w:lang w:val="en-US" w:eastAsia="zh-CN" w:bidi="ar"/>
        </w:rPr>
        <w:t>、</w:t>
      </w:r>
      <w:r>
        <w:rPr>
          <w:rFonts w:hint="eastAsia" w:ascii="仿宋" w:hAnsi="仿宋" w:eastAsia="仿宋" w:cs="仿宋"/>
          <w:snapToGrid w:val="0"/>
          <w:color w:val="000000"/>
          <w:kern w:val="2"/>
          <w:sz w:val="32"/>
          <w:szCs w:val="32"/>
          <w:lang w:val="en-US" w:eastAsia="zh-CN" w:bidi="ar"/>
        </w:rPr>
        <w:t>现场检查图片4张</w:t>
      </w:r>
      <w:r>
        <w:rPr>
          <w:rFonts w:hint="eastAsia" w:ascii="仿宋_GB2312" w:hAnsi="仿宋_GB2312" w:eastAsia="仿宋_GB2312" w:cs="仿宋_GB2312"/>
          <w:snapToGrid w:val="0"/>
          <w:color w:val="000000"/>
          <w:kern w:val="2"/>
          <w:sz w:val="32"/>
          <w:szCs w:val="32"/>
          <w:lang w:val="en-US" w:eastAsia="zh-CN" w:bidi="ar"/>
        </w:rPr>
        <w:t>、</w:t>
      </w:r>
      <w:r>
        <w:rPr>
          <w:rFonts w:hint="eastAsia" w:ascii="仿宋" w:hAnsi="仿宋" w:eastAsia="仿宋" w:cs="仿宋"/>
          <w:snapToGrid w:val="0"/>
          <w:color w:val="000000"/>
          <w:kern w:val="21"/>
          <w:sz w:val="32"/>
          <w:szCs w:val="32"/>
          <w:lang w:val="en-US" w:eastAsia="zh-CN" w:bidi="ar"/>
        </w:rPr>
        <w:t>销售单、以及供货商晋江市池店镇王城胜蔬菜店营业执照等材料、12345举报件1份、晋江市市场监管局复函1份</w:t>
      </w:r>
      <w:r>
        <w:rPr>
          <w:rFonts w:hint="eastAsia" w:ascii="仿宋_GB2312" w:hAnsi="仿宋_GB2312" w:eastAsia="仿宋_GB2312" w:cs="仿宋_GB2312"/>
          <w:snapToGrid w:val="0"/>
          <w:color w:val="000000"/>
          <w:kern w:val="2"/>
          <w:sz w:val="32"/>
          <w:szCs w:val="32"/>
          <w:lang w:val="en-US" w:eastAsia="zh-CN" w:bidi="ar"/>
        </w:rPr>
        <w:t>等。</w:t>
      </w:r>
    </w:p>
    <w:p>
      <w:pPr>
        <w:keepNext w:val="0"/>
        <w:keepLines w:val="0"/>
        <w:widowControl w:val="0"/>
        <w:suppressLineNumbers w:val="0"/>
        <w:adjustRightInd w:val="0"/>
        <w:spacing w:before="0" w:beforeAutospacing="0" w:after="0" w:afterAutospacing="0" w:line="480" w:lineRule="exact"/>
        <w:ind w:left="0" w:right="0" w:firstLine="640" w:firstLineChars="200"/>
        <w:jc w:val="both"/>
        <w:textAlignment w:val="baseline"/>
        <w:rPr>
          <w:rFonts w:hint="eastAsia" w:ascii="仿宋_GB2312" w:hAnsi="仿宋_GB2312" w:eastAsia="仿宋_GB2312" w:cs="Times New Roman"/>
          <w:color w:val="000000"/>
          <w:sz w:val="32"/>
          <w:szCs w:val="32"/>
          <w:vertAlign w:val="baseline"/>
          <w:lang w:val="en-US"/>
        </w:rPr>
      </w:pPr>
      <w:r>
        <w:rPr>
          <w:rFonts w:hint="eastAsia" w:ascii="仿宋_GB2312" w:hAnsi="仿宋_GB2312" w:eastAsia="仿宋_GB2312" w:cs="仿宋_GB2312"/>
          <w:snapToGrid w:val="0"/>
          <w:color w:val="000000"/>
          <w:kern w:val="2"/>
          <w:sz w:val="32"/>
          <w:szCs w:val="32"/>
          <w:vertAlign w:val="baseline"/>
          <w:lang w:val="en-US" w:eastAsia="zh-CN" w:bidi="ar"/>
        </w:rPr>
        <w:t>本局于</w:t>
      </w:r>
      <w:r>
        <w:rPr>
          <w:rFonts w:hint="eastAsia" w:ascii="仿宋" w:hAnsi="仿宋" w:eastAsia="仿宋" w:cs="仿宋"/>
          <w:snapToGrid w:val="0"/>
          <w:color w:val="000000"/>
          <w:kern w:val="21"/>
          <w:sz w:val="32"/>
          <w:szCs w:val="32"/>
          <w:vertAlign w:val="baseline"/>
          <w:lang w:val="en-US" w:eastAsia="zh-CN" w:bidi="ar"/>
        </w:rPr>
        <w:t>2023年9月2日</w:t>
      </w:r>
      <w:r>
        <w:rPr>
          <w:rFonts w:hint="eastAsia" w:ascii="仿宋_GB2312" w:hAnsi="仿宋_GB2312" w:eastAsia="仿宋_GB2312" w:cs="仿宋_GB2312"/>
          <w:snapToGrid w:val="0"/>
          <w:color w:val="000000"/>
          <w:kern w:val="2"/>
          <w:sz w:val="32"/>
          <w:szCs w:val="32"/>
          <w:vertAlign w:val="baseline"/>
          <w:lang w:val="en-US" w:eastAsia="zh-CN" w:bidi="ar"/>
        </w:rPr>
        <w:t>向当事人依法送达了《莆田市市场监督管理局行政处罚告知书》（</w:t>
      </w:r>
      <w:r>
        <w:rPr>
          <w:rFonts w:hint="eastAsia" w:ascii="仿宋" w:hAnsi="仿宋" w:eastAsia="仿宋" w:cs="仿宋"/>
          <w:snapToGrid w:val="0"/>
          <w:color w:val="000000"/>
          <w:kern w:val="21"/>
          <w:sz w:val="32"/>
          <w:szCs w:val="32"/>
          <w:vertAlign w:val="baseline"/>
          <w:lang w:val="en-US" w:eastAsia="zh-CN" w:bidi="ar"/>
        </w:rPr>
        <w:t>莆市监罚告[2023]07050004号</w:t>
      </w:r>
      <w:r>
        <w:rPr>
          <w:rFonts w:hint="eastAsia" w:ascii="仿宋_GB2312" w:hAnsi="仿宋_GB2312" w:eastAsia="仿宋_GB2312" w:cs="仿宋_GB2312"/>
          <w:snapToGrid w:val="0"/>
          <w:color w:val="000000"/>
          <w:kern w:val="2"/>
          <w:sz w:val="32"/>
          <w:szCs w:val="32"/>
          <w:vertAlign w:val="baseline"/>
          <w:lang w:val="en-US" w:eastAsia="zh-CN" w:bidi="ar"/>
        </w:rPr>
        <w:t>），告知当事人拟作出行政处罚的事实、理由、依据、处罚内容及其依法享有陈述、申辩和要求举行听证的的权利。当事人在收到本通知后，在法定期限内向本局提出陈述、申辩，要求对</w:t>
      </w:r>
      <w:r>
        <w:rPr>
          <w:rFonts w:hint="eastAsia" w:ascii="仿宋" w:hAnsi="仿宋" w:eastAsia="仿宋" w:cs="仿宋"/>
          <w:snapToGrid w:val="0"/>
          <w:color w:val="000000"/>
          <w:kern w:val="21"/>
          <w:sz w:val="32"/>
          <w:szCs w:val="32"/>
          <w:vertAlign w:val="baseline"/>
          <w:lang w:val="en-US" w:eastAsia="zh-CN" w:bidi="ar"/>
        </w:rPr>
        <w:t>其销售不合格“红茄”的违法行为免予行政处罚。经本局核查，</w:t>
      </w:r>
      <w:r>
        <w:rPr>
          <w:rFonts w:hint="eastAsia" w:ascii="仿宋_GB2312" w:hAnsi="仿宋_GB2312" w:eastAsia="仿宋_GB2312" w:cs="仿宋_GB2312"/>
          <w:snapToGrid w:val="0"/>
          <w:color w:val="000000"/>
          <w:kern w:val="2"/>
          <w:sz w:val="32"/>
          <w:szCs w:val="32"/>
          <w:vertAlign w:val="baseline"/>
          <w:lang w:val="en-US" w:eastAsia="zh-CN" w:bidi="ar"/>
        </w:rPr>
        <w:t>当事人销售不合格</w:t>
      </w:r>
      <w:r>
        <w:rPr>
          <w:rFonts w:hint="eastAsia" w:ascii="仿宋" w:hAnsi="仿宋" w:eastAsia="仿宋" w:cs="仿宋"/>
          <w:snapToGrid w:val="0"/>
          <w:color w:val="000000"/>
          <w:kern w:val="21"/>
          <w:sz w:val="32"/>
          <w:szCs w:val="32"/>
          <w:vertAlign w:val="baseline"/>
          <w:lang w:val="en-US" w:eastAsia="zh-CN" w:bidi="ar"/>
        </w:rPr>
        <w:t>“红茄”符合不予行政处罚的情形</w:t>
      </w:r>
      <w:r>
        <w:rPr>
          <w:rFonts w:hint="eastAsia" w:ascii="仿宋_GB2312" w:hAnsi="仿宋_GB2312" w:eastAsia="仿宋_GB2312" w:cs="仿宋_GB2312"/>
          <w:snapToGrid w:val="0"/>
          <w:color w:val="000000"/>
          <w:kern w:val="2"/>
          <w:sz w:val="32"/>
          <w:szCs w:val="32"/>
          <w:vertAlign w:val="baseline"/>
          <w:lang w:val="en-US" w:eastAsia="zh-CN" w:bidi="ar"/>
        </w:rPr>
        <w:t>。</w:t>
      </w:r>
    </w:p>
    <w:p>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仿宋" w:hAnsi="仿宋" w:eastAsia="仿宋" w:cs="Times New Roman"/>
          <w:kern w:val="21"/>
          <w:sz w:val="32"/>
          <w:szCs w:val="32"/>
          <w:vertAlign w:val="baseline"/>
          <w:lang w:val="en-US"/>
        </w:rPr>
      </w:pPr>
      <w:r>
        <w:rPr>
          <w:rFonts w:hint="eastAsia" w:ascii="仿宋_GB2312" w:hAnsi="仿宋_GB2312" w:eastAsia="仿宋_GB2312" w:cs="仿宋_GB2312"/>
          <w:snapToGrid w:val="0"/>
          <w:color w:val="000000"/>
          <w:kern w:val="2"/>
          <w:sz w:val="32"/>
          <w:szCs w:val="32"/>
          <w:vertAlign w:val="baseline"/>
          <w:lang w:val="en-US" w:eastAsia="zh-CN" w:bidi="ar"/>
        </w:rPr>
        <w:t xml:space="preserve">    本局认为，</w:t>
      </w:r>
      <w:r>
        <w:rPr>
          <w:rFonts w:hint="eastAsia" w:ascii="仿宋" w:hAnsi="仿宋" w:eastAsia="仿宋" w:cs="仿宋"/>
          <w:snapToGrid w:val="0"/>
          <w:color w:val="000000"/>
          <w:kern w:val="2"/>
          <w:sz w:val="32"/>
          <w:szCs w:val="32"/>
          <w:vertAlign w:val="baseline"/>
          <w:lang w:val="en-US" w:eastAsia="zh-CN" w:bidi="ar"/>
        </w:rPr>
        <w:t>当事人</w:t>
      </w:r>
      <w:r>
        <w:rPr>
          <w:rFonts w:hint="eastAsia" w:ascii="仿宋" w:hAnsi="仿宋" w:eastAsia="仿宋" w:cs="仿宋"/>
          <w:snapToGrid w:val="0"/>
          <w:color w:val="000000"/>
          <w:kern w:val="21"/>
          <w:sz w:val="32"/>
          <w:szCs w:val="32"/>
          <w:vertAlign w:val="baseline"/>
          <w:lang w:val="en-US" w:eastAsia="zh-CN" w:bidi="ar"/>
        </w:rPr>
        <w:t>经营的红茄“噻虫按”项目不符合GB2763-2021(食品安全国家标准 食品中农药最大残留限量）要求，检验结论为不合格，其行为违反了《中华人民共和国食品安全法》第三十四条第（二）项的有关规定，属于经营污染物质、农药残留含量超过食品安全标准限量的食品的违法行为。</w:t>
      </w:r>
    </w:p>
    <w:p>
      <w:pPr>
        <w:keepNext w:val="0"/>
        <w:keepLines w:val="0"/>
        <w:widowControl w:val="0"/>
        <w:suppressLineNumbers w:val="0"/>
        <w:spacing w:before="0" w:beforeAutospacing="0" w:after="0" w:afterAutospacing="0" w:line="480" w:lineRule="exact"/>
        <w:ind w:left="0" w:right="0" w:firstLine="672" w:firstLineChars="210"/>
        <w:jc w:val="both"/>
        <w:rPr>
          <w:rFonts w:hint="eastAsia" w:ascii="仿宋" w:hAnsi="仿宋" w:eastAsia="仿宋" w:cs="Times New Roman"/>
          <w:kern w:val="21"/>
          <w:sz w:val="32"/>
          <w:szCs w:val="32"/>
          <w:lang w:val="en-US"/>
        </w:rPr>
      </w:pPr>
      <w:r>
        <w:rPr>
          <w:rFonts w:hint="eastAsia" w:ascii="仿宋" w:hAnsi="仿宋" w:eastAsia="仿宋" w:cs="仿宋"/>
          <w:snapToGrid w:val="0"/>
          <w:color w:val="000000"/>
          <w:kern w:val="21"/>
          <w:sz w:val="32"/>
          <w:szCs w:val="32"/>
          <w:lang w:val="en-US" w:eastAsia="zh-CN" w:bidi="ar"/>
        </w:rPr>
        <w:t xml:space="preserve">当事人发布“一次性消费58元，即送50元0门槛抵用券”宣传单，实际优惠与宣传的不符，属于《中华人民共和国广告法》第二十八条第二款第（二）项规定的商品或者服务有关的允诺等信息与实际情况不符，对购买行为有实质性影响的行为，违反了《中华人民共和国广告法》第四条第一款的规定，属于发布虚假广告的违法行为。 </w:t>
      </w:r>
    </w:p>
    <w:p>
      <w:pPr>
        <w:keepNext w:val="0"/>
        <w:keepLines w:val="0"/>
        <w:widowControl w:val="0"/>
        <w:suppressLineNumbers w:val="0"/>
        <w:autoSpaceDE w:val="0"/>
        <w:autoSpaceDN/>
        <w:adjustRightInd w:val="0"/>
        <w:spacing w:before="0" w:beforeAutospacing="0" w:after="0" w:afterAutospacing="0" w:line="480" w:lineRule="exact"/>
        <w:ind w:left="0" w:right="0" w:firstLine="640" w:firstLineChars="200"/>
        <w:jc w:val="both"/>
        <w:textAlignment w:val="baseline"/>
        <w:rPr>
          <w:rFonts w:hint="eastAsia" w:ascii="仿宋_GB2312" w:hAnsi="仿宋_GB2312" w:eastAsia="仿宋_GB2312" w:cs="Times New Roman"/>
          <w:color w:val="000000"/>
          <w:sz w:val="32"/>
          <w:szCs w:val="32"/>
          <w:vertAlign w:val="baseline"/>
          <w:lang w:val="en-US"/>
        </w:rPr>
      </w:pPr>
      <w:r>
        <w:rPr>
          <w:rFonts w:hint="eastAsia" w:ascii="仿宋_GB2312" w:hAnsi="仿宋_GB2312" w:eastAsia="仿宋_GB2312" w:cs="仿宋_GB2312"/>
          <w:snapToGrid w:val="0"/>
          <w:color w:val="000000"/>
          <w:kern w:val="2"/>
          <w:sz w:val="32"/>
          <w:szCs w:val="32"/>
          <w:vertAlign w:val="baseline"/>
          <w:lang w:val="en-US" w:eastAsia="zh-CN" w:bidi="ar"/>
        </w:rPr>
        <w:t>鉴于当事人销售不合格</w:t>
      </w:r>
      <w:r>
        <w:rPr>
          <w:rFonts w:hint="eastAsia" w:ascii="仿宋" w:hAnsi="仿宋" w:eastAsia="仿宋" w:cs="仿宋"/>
          <w:snapToGrid w:val="0"/>
          <w:color w:val="000000"/>
          <w:kern w:val="21"/>
          <w:sz w:val="32"/>
          <w:szCs w:val="32"/>
          <w:vertAlign w:val="baseline"/>
          <w:lang w:val="en-US" w:eastAsia="zh-CN" w:bidi="ar"/>
        </w:rPr>
        <w:t>“红茄”符合不予行政处罚的情形</w:t>
      </w:r>
      <w:r>
        <w:rPr>
          <w:rFonts w:hint="eastAsia" w:ascii="仿宋_GB2312" w:hAnsi="仿宋_GB2312" w:eastAsia="仿宋_GB2312" w:cs="仿宋_GB2312"/>
          <w:snapToGrid w:val="0"/>
          <w:color w:val="000000"/>
          <w:kern w:val="2"/>
          <w:sz w:val="32"/>
          <w:szCs w:val="32"/>
          <w:vertAlign w:val="baseline"/>
          <w:lang w:val="en-US" w:eastAsia="zh-CN" w:bidi="ar"/>
        </w:rPr>
        <w:t>。本局不予行政处罚。</w:t>
      </w:r>
    </w:p>
    <w:p>
      <w:pPr>
        <w:keepNext w:val="0"/>
        <w:keepLines w:val="0"/>
        <w:widowControl w:val="0"/>
        <w:suppressLineNumbers w:val="0"/>
        <w:autoSpaceDE w:val="0"/>
        <w:autoSpaceDN/>
        <w:adjustRightInd w:val="0"/>
        <w:spacing w:before="0" w:beforeAutospacing="0" w:after="0" w:afterAutospacing="0" w:line="480" w:lineRule="exact"/>
        <w:ind w:left="0" w:right="0" w:firstLine="640" w:firstLineChars="200"/>
        <w:jc w:val="both"/>
        <w:textAlignment w:val="baseline"/>
        <w:rPr>
          <w:rFonts w:hint="eastAsia" w:ascii="仿宋" w:hAnsi="仿宋" w:eastAsia="仿宋" w:cs="Times New Roman"/>
          <w:kern w:val="21"/>
          <w:sz w:val="32"/>
          <w:szCs w:val="32"/>
          <w:vertAlign w:val="baseline"/>
          <w:lang w:val="en-US"/>
        </w:rPr>
      </w:pPr>
      <w:r>
        <w:rPr>
          <w:rFonts w:hint="eastAsia" w:ascii="仿宋_GB2312" w:hAnsi="仿宋_GB2312" w:eastAsia="仿宋_GB2312" w:cs="仿宋_GB2312"/>
          <w:snapToGrid w:val="0"/>
          <w:color w:val="000000"/>
          <w:kern w:val="2"/>
          <w:sz w:val="32"/>
          <w:szCs w:val="32"/>
          <w:vertAlign w:val="baseline"/>
          <w:lang w:val="en-US" w:eastAsia="zh-CN" w:bidi="ar"/>
        </w:rPr>
        <w:t>鉴于当事人广告违法行为情节一般，本局予以一般行政处罚</w:t>
      </w:r>
      <w:r>
        <w:rPr>
          <w:rFonts w:hint="eastAsia" w:ascii="仿宋" w:hAnsi="仿宋" w:eastAsia="仿宋" w:cs="仿宋"/>
          <w:snapToGrid w:val="0"/>
          <w:color w:val="000000"/>
          <w:kern w:val="21"/>
          <w:sz w:val="32"/>
          <w:szCs w:val="32"/>
          <w:vertAlign w:val="baseline"/>
          <w:lang w:val="en-US" w:eastAsia="zh-CN" w:bidi="ar"/>
        </w:rPr>
        <w:t>。</w:t>
      </w:r>
    </w:p>
    <w:p>
      <w:pPr>
        <w:keepNext w:val="0"/>
        <w:keepLines w:val="0"/>
        <w:widowControl w:val="0"/>
        <w:suppressLineNumbers w:val="0"/>
        <w:adjustRightInd w:val="0"/>
        <w:spacing w:before="0" w:beforeAutospacing="0" w:after="0" w:afterAutospacing="0" w:line="480" w:lineRule="exact"/>
        <w:ind w:left="0" w:right="0" w:firstLine="640" w:firstLineChars="200"/>
        <w:jc w:val="both"/>
        <w:textAlignment w:val="baseline"/>
        <w:rPr>
          <w:rFonts w:hint="eastAsia" w:ascii="仿宋" w:hAnsi="仿宋" w:eastAsia="仿宋" w:cs="Times New Roman"/>
          <w:kern w:val="21"/>
          <w:sz w:val="32"/>
          <w:szCs w:val="32"/>
          <w:vertAlign w:val="baseline"/>
          <w:lang w:val="en-US"/>
        </w:rPr>
      </w:pPr>
      <w:r>
        <w:rPr>
          <w:rFonts w:hint="eastAsia" w:ascii="仿宋" w:hAnsi="仿宋" w:eastAsia="仿宋" w:cs="仿宋"/>
          <w:snapToGrid w:val="0"/>
          <w:color w:val="000000"/>
          <w:kern w:val="21"/>
          <w:sz w:val="32"/>
          <w:szCs w:val="32"/>
          <w:vertAlign w:val="baseline"/>
          <w:lang w:val="en-US" w:eastAsia="zh-CN" w:bidi="ar"/>
        </w:rPr>
        <w:t>依据《中华人民共和国行政处罚法》第三十三条及《中华人民共和国广告法》第五十五条第一款的规定，本局决定对当事人作如下行政处罚：</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 w:hAnsi="仿宋" w:eastAsia="仿宋" w:cs="Times New Roman"/>
          <w:kern w:val="21"/>
          <w:sz w:val="32"/>
          <w:szCs w:val="32"/>
          <w:lang w:val="en-US"/>
        </w:rPr>
      </w:pPr>
      <w:r>
        <w:rPr>
          <w:rFonts w:hint="eastAsia" w:ascii="仿宋" w:hAnsi="仿宋" w:eastAsia="仿宋" w:cs="仿宋"/>
          <w:snapToGrid w:val="0"/>
          <w:color w:val="000000"/>
          <w:kern w:val="21"/>
          <w:sz w:val="32"/>
          <w:szCs w:val="32"/>
          <w:lang w:val="en-US" w:eastAsia="zh-CN" w:bidi="ar"/>
        </w:rPr>
        <w:t>1. 对当事人经营不符合食品安全标准的“红茄”的行为不予处罚，并对当事人进行教育：要求当事人加强食品安全法等相关法律法规的学习。</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 w:hAnsi="仿宋" w:eastAsia="仿宋" w:cs="Times New Roman"/>
          <w:kern w:val="21"/>
          <w:sz w:val="32"/>
          <w:szCs w:val="32"/>
          <w:lang w:val="en-US"/>
        </w:rPr>
      </w:pPr>
      <w:r>
        <w:rPr>
          <w:rFonts w:hint="eastAsia" w:ascii="仿宋" w:hAnsi="仿宋" w:eastAsia="仿宋" w:cs="仿宋"/>
          <w:snapToGrid w:val="0"/>
          <w:color w:val="000000"/>
          <w:kern w:val="21"/>
          <w:sz w:val="32"/>
          <w:szCs w:val="32"/>
          <w:lang w:val="en-US" w:eastAsia="zh-CN" w:bidi="ar"/>
        </w:rPr>
        <w:t>2. 责令当事人立即停止发布虚假广告的违法行为，在相应范围内消除影响,并处罚款人民币480元，上缴国库。</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_GB2312" w:hAnsi="仿宋_GB2312" w:eastAsia="仿宋_GB2312" w:cs="Times New Roman"/>
          <w:color w:val="000000"/>
          <w:sz w:val="32"/>
          <w:szCs w:val="32"/>
          <w:lang w:val="en-US"/>
        </w:rPr>
      </w:pPr>
      <w:r>
        <w:rPr>
          <w:rFonts w:hint="eastAsia" w:ascii="仿宋_GB2312" w:hAnsi="仿宋_GB2312" w:eastAsia="仿宋_GB2312" w:cs="仿宋_GB2312"/>
          <w:snapToGrid w:val="0"/>
          <w:color w:val="000000"/>
          <w:kern w:val="2"/>
          <w:sz w:val="32"/>
          <w:szCs w:val="32"/>
          <w:lang w:val="en-US" w:eastAsia="zh-CN" w:bidi="ar"/>
        </w:rPr>
        <w:t>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二维码”进行缴费。到期不缴纳罚款的，依据《中华人民共和国行政处罚法》第七十二条第一款第（一）项的规定，每日按罚款数额的百分之三加处罚款。</w:t>
      </w:r>
    </w:p>
    <w:p>
      <w:pPr>
        <w:keepNext w:val="0"/>
        <w:keepLines w:val="0"/>
        <w:widowControl w:val="0"/>
        <w:suppressLineNumbers w:val="0"/>
        <w:spacing w:before="0" w:beforeAutospacing="0" w:after="0" w:afterAutospacing="0" w:line="480" w:lineRule="exact"/>
        <w:ind w:left="0" w:right="0" w:firstLine="640" w:firstLineChars="200"/>
        <w:jc w:val="both"/>
        <w:rPr>
          <w:rFonts w:hint="eastAsia" w:ascii="仿宋_GB2312" w:hAnsi="仿宋_GB2312" w:eastAsia="仿宋_GB2312" w:cs="Times New Roman"/>
          <w:color w:val="000000"/>
          <w:sz w:val="32"/>
          <w:szCs w:val="32"/>
          <w:lang w:val="en-US"/>
        </w:rPr>
      </w:pPr>
      <w:r>
        <w:rPr>
          <w:rFonts w:hint="eastAsia" w:ascii="仿宋_GB2312" w:hAnsi="仿宋_GB2312" w:eastAsia="仿宋_GB2312" w:cs="仿宋_GB2312"/>
          <w:snapToGrid w:val="0"/>
          <w:color w:val="000000"/>
          <w:kern w:val="2"/>
          <w:sz w:val="32"/>
          <w:szCs w:val="32"/>
          <w:lang w:val="en-US" w:eastAsia="zh-CN" w:bidi="ar"/>
        </w:rPr>
        <w:t>如对以上行政处罚不服的，可在接到本决定书之日起六十日内，向莆田市人民政府申请复议或在十五日内向莆田市荔城区人民法院起诉；逾期不申请复议、不起诉又不履行的，本机关将申请人民法院强制执行。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ascii="楷体" w:hAnsi="楷体" w:eastAsia="楷体" w:cs="楷体"/>
          <w:color w:val="231F20"/>
          <w:spacing w:val="0"/>
          <w:w w:val="100"/>
          <w:sz w:val="31"/>
          <w:szCs w:val="31"/>
          <w14:textOutline w14:w="5626" w14:cap="sq" w14:cmpd="sng" w14:algn="ctr">
            <w14:solidFill>
              <w14:srgbClr w14:val="231F20"/>
            </w14:solidFill>
            <w14:prstDash w14:val="solid"/>
            <w14:bevel/>
          </w14:textOutline>
        </w:rPr>
      </w:pPr>
    </w:p>
    <w:p>
      <w:pPr>
        <w:spacing w:line="279" w:lineRule="auto"/>
        <w:rPr>
          <w:rFonts w:ascii="Microsoft JhengHei"/>
          <w:spacing w:val="0"/>
          <w:w w:val="100"/>
        </w:rPr>
      </w:pPr>
    </w:p>
    <w:p>
      <w:pPr>
        <w:spacing w:line="279" w:lineRule="auto"/>
        <w:rPr>
          <w:rFonts w:hint="default" w:ascii="Microsoft JhengHei" w:eastAsia="宋体"/>
          <w:spacing w:val="0"/>
          <w:w w:val="100"/>
          <w:lang w:val="en-US" w:eastAsia="zh-CN"/>
        </w:rPr>
      </w:pPr>
    </w:p>
    <w:p>
      <w:pPr>
        <w:spacing w:line="279" w:lineRule="auto"/>
        <w:rPr>
          <w:rFonts w:ascii="Microsoft JhengHei"/>
          <w:spacing w:val="0"/>
          <w:w w:val="100"/>
        </w:rPr>
      </w:pPr>
    </w:p>
    <w:p>
      <w:pPr>
        <w:spacing w:line="279" w:lineRule="auto"/>
        <w:rPr>
          <w:rFonts w:ascii="Microsoft JhengHei"/>
          <w:spacing w:val="0"/>
          <w:w w:val="100"/>
        </w:rPr>
      </w:pPr>
    </w:p>
    <w:p>
      <w:pPr>
        <w:spacing w:line="279" w:lineRule="auto"/>
        <w:rPr>
          <w:rFonts w:hint="default" w:ascii="Microsoft JhengHei" w:eastAsia="宋体"/>
          <w:color w:val="FF0000"/>
          <w:spacing w:val="0"/>
          <w:w w:val="100"/>
          <w:lang w:val="en-US" w:eastAsia="zh-CN"/>
        </w:rPr>
      </w:pPr>
      <w:bookmarkStart w:id="0" w:name="thts1"/>
      <w:r>
        <w:rPr>
          <w:rFonts w:ascii="仿宋" w:hAnsi="仿宋" w:cs="仿宋" w:eastAsia="仿宋"/>
          <w:sz w:val="32"/>
        </w:rPr>
        <w:t xml:space="preserve"> </w:t>
      </w:r>
      <w:bookmarkEnd w:id="0"/>
    </w:p>
    <w:p>
      <w:pPr>
        <w:keepNext w:val="0"/>
        <w:keepLines w:val="0"/>
        <w:pageBreakBefore w:val="0"/>
        <w:widowControl/>
        <w:tabs>
          <w:tab w:val="left" w:pos="5667"/>
        </w:tabs>
        <w:kinsoku w:val="0"/>
        <w:wordWrap w:val="0"/>
        <w:overflowPunct/>
        <w:topLinePunct w:val="0"/>
        <w:autoSpaceDE w:val="0"/>
        <w:autoSpaceDN w:val="0"/>
        <w:bidi/>
        <w:adjustRightInd w:val="0"/>
        <w:snapToGrid w:val="0"/>
        <w:spacing w:line="560" w:lineRule="exact"/>
        <w:ind w:left="0" w:leftChars="0" w:right="840" w:rightChars="400" w:firstLine="0" w:firstLineChars="0"/>
        <w:jc w:val="left"/>
        <w:textAlignment w:val="baseline"/>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莆田市市场监督管理局</w:t>
      </w:r>
      <w:r>
        <w:rPr>
          <w:rFonts w:ascii="仿宋" w:hAnsi="仿宋" w:eastAsia="仿宋" w:cs="仿宋"/>
          <w:sz w:val="32"/>
        </w:rPr>
        <w:t xml:space="preserve">   </w:t>
      </w:r>
    </w:p>
    <w:p>
      <w:pPr>
        <w:keepNext w:val="0"/>
        <w:keepLines w:val="0"/>
        <w:pageBreakBefore w:val="0"/>
        <w:widowControl/>
        <w:tabs>
          <w:tab w:val="left" w:pos="5667"/>
        </w:tabs>
        <w:kinsoku w:val="0"/>
        <w:wordWrap/>
        <w:overflowPunct/>
        <w:topLinePunct w:val="0"/>
        <w:autoSpaceDE w:val="0"/>
        <w:autoSpaceDN w:val="0"/>
        <w:bidi/>
        <w:adjustRightInd w:val="0"/>
        <w:snapToGrid w:val="0"/>
        <w:spacing w:line="40" w:lineRule="exact"/>
        <w:ind w:left="0" w:leftChars="0" w:right="0" w:firstLine="1650" w:firstLineChars="1500"/>
        <w:jc w:val="left"/>
        <w:textAlignment w:val="baseline"/>
        <w:rPr>
          <w:rFonts w:hint="default" w:ascii="仿宋" w:hAnsi="仿宋" w:eastAsia="仿宋" w:cs="仿宋"/>
          <w:spacing w:val="0"/>
          <w:w w:val="100"/>
          <w:sz w:val="32"/>
          <w:szCs w:val="32"/>
          <w:lang w:val="en-US" w:eastAsia="zh-CN"/>
        </w:rPr>
      </w:pPr>
      <w:r>
        <w:rPr>
          <w:rFonts w:ascii="仿宋" w:hAnsi="仿宋" w:eastAsia="仿宋" w:cs="仿宋"/>
          <w:color w:val="FFFFFF" w:themeColor="background1"/>
          <w:spacing w:val="0"/>
          <w:w w:val="100"/>
          <w:sz w:val="11"/>
          <w:szCs w:val="11"/>
          <w14:textFill>
            <w14:solidFill>
              <w14:schemeClr w14:val="bg1"/>
            </w14:solidFill>
          </w14:textFill>
        </w:rPr>
        <w:t>（</w:t>
      </w:r>
      <w:r>
        <w:rPr>
          <w:rFonts w:hint="eastAsia" w:ascii="仿宋" w:hAnsi="仿宋" w:eastAsia="仿宋" w:cs="仿宋"/>
          <w:color w:val="FFFFFF" w:themeColor="background1"/>
          <w:spacing w:val="0"/>
          <w:w w:val="100"/>
          <w:sz w:val="11"/>
          <w:szCs w:val="11"/>
          <w:lang w:eastAsia="zh-CN"/>
          <w14:textFill>
            <w14:solidFill>
              <w14:schemeClr w14:val="bg1"/>
            </w14:solidFill>
          </w14:textFill>
        </w:rPr>
        <w:t>sealdwy</w:t>
      </w:r>
      <w:r>
        <w:rPr>
          <w:rFonts w:ascii="仿宋" w:hAnsi="仿宋" w:eastAsia="仿宋" w:cs="仿宋"/>
          <w:color w:val="FFFFFF" w:themeColor="background1"/>
          <w:spacing w:val="0"/>
          <w:w w:val="100"/>
          <w:sz w:val="11"/>
          <w:szCs w:val="11"/>
          <w14:textFill>
            <w14:solidFill>
              <w14:schemeClr w14:val="bg1"/>
            </w14:solidFill>
          </w14:textFill>
        </w:rPr>
        <w:t>）</w:t>
      </w:r>
      <w:r>
        <w:rPr>
          <w:rFonts w:ascii="仿宋" w:hAnsi="仿宋" w:eastAsia="仿宋" w:cs="仿宋"/>
          <w:color w:val="000000" w:themeColor="text1"/>
          <w:spacing w:val="0"/>
          <w:w w:val="100"/>
          <w:sz w:val="21"/>
          <w:szCs w:val="21"/>
          <w14:textFill>
            <w14:solidFill>
              <w14:schemeClr w14:val="tx1"/>
            </w14:solidFill>
          </w14:textFill>
        </w:rPr>
        <w:t xml:space="preserve"> </w:t>
      </w:r>
    </w:p>
    <w:p>
      <w:pPr>
        <w:keepNext w:val="0"/>
        <w:keepLines w:val="0"/>
        <w:pageBreakBefore w:val="0"/>
        <w:widowControl/>
        <w:kinsoku w:val="0"/>
        <w:wordWrap w:val="0"/>
        <w:overflowPunct/>
        <w:topLinePunct w:val="0"/>
        <w:autoSpaceDE w:val="0"/>
        <w:autoSpaceDN w:val="0"/>
        <w:bidi/>
        <w:adjustRightInd w:val="0"/>
        <w:snapToGrid w:val="0"/>
        <w:spacing w:line="560" w:lineRule="exact"/>
        <w:ind w:right="840" w:rightChars="400" w:firstLine="0" w:firstLineChars="0"/>
        <w:jc w:val="left"/>
        <w:textAlignment w:val="baseline"/>
        <w:rPr>
          <w:rFonts w:hint="default" w:ascii="仿宋" w:hAnsi="仿宋" w:eastAsia="仿宋" w:cs="仿宋"/>
          <w:spacing w:val="0"/>
          <w:w w:val="100"/>
          <w:sz w:val="32"/>
          <w:szCs w:val="32"/>
          <w:lang w:val="en-US" w:eastAsia="zh-CN"/>
        </w:rPr>
      </w:pPr>
      <w:bookmarkStart w:id="1" w:name="decisionDate2"/>
      <w:r>
        <w:rPr>
          <w:rFonts w:ascii="仿宋" w:hAnsi="仿宋" w:cs="仿宋" w:eastAsia="仿宋"/>
        </w:rPr>
        <w:t>2025年06月09日</w:t>
      </w:r>
      <w:bookmarkEnd w:id="1"/>
      <w:r>
        <w:rPr>
          <w:rFonts w:hint="eastAsia" w:ascii="仿宋" w:hAnsi="仿宋" w:eastAsia="仿宋" w:cs="仿宋"/>
          <w:spacing w:val="0"/>
          <w:w w:val="100"/>
          <w:sz w:val="32"/>
          <w:szCs w:val="32"/>
          <w:lang w:val="en-US" w:eastAsia="zh-CN"/>
        </w:rPr>
        <w:t xml:space="preserve">       </w:t>
      </w:r>
    </w:p>
    <w:p>
      <w:pPr>
        <w:spacing w:line="279" w:lineRule="auto"/>
        <w:rPr>
          <w:rFonts w:hint="default" w:ascii="Microsoft JhengHei" w:eastAsia="宋体"/>
          <w:color w:val="FF0000"/>
          <w:spacing w:val="0"/>
          <w:w w:val="100"/>
          <w:lang w:val="en-US" w:eastAsia="zh-CN"/>
        </w:rPr>
      </w:pPr>
      <w:bookmarkStart w:id="2" w:name="thts2"/>
      <w:r>
        <w:rPr>
          <w:rFonts w:ascii="仿宋" w:hAnsi="仿宋" w:cs="仿宋" w:eastAsia="仿宋"/>
          <w:sz w:val="32"/>
        </w:rPr>
        <w:t xml:space="preserve"> </w:t>
      </w:r>
      <w:bookmarkEnd w:id="2"/>
    </w:p>
    <w:p>
      <w:pPr>
        <w:spacing w:line="256" w:lineRule="auto"/>
        <w:rPr>
          <w:rFonts w:ascii="Microsoft JhengHei"/>
          <w:spacing w:val="0"/>
          <w:w w:val="100"/>
        </w:rPr>
      </w:pPr>
    </w:p>
    <w:p>
      <w:pPr>
        <w:spacing w:before="105" w:line="183" w:lineRule="auto"/>
        <w:ind w:firstLine="403"/>
        <w:jc w:val="center"/>
        <w:rPr>
          <w:rFonts w:hint="default" w:ascii="黑体" w:hAnsi="黑体" w:eastAsia="黑体" w:cs="黑体"/>
          <w:color w:val="231F20"/>
          <w:spacing w:val="0"/>
          <w:w w:val="100"/>
          <w:sz w:val="32"/>
          <w:szCs w:val="32"/>
          <w:lang w:val="en-US" w:eastAsia="zh-CN"/>
        </w:rPr>
      </w:pPr>
    </w:p>
    <w:p>
      <w:pPr>
        <w:spacing w:before="105" w:line="183" w:lineRule="auto"/>
        <w:ind w:firstLine="403"/>
        <w:jc w:val="center"/>
        <w:rPr>
          <w:rFonts w:ascii="黑体" w:hAnsi="黑体" w:eastAsia="黑体" w:cs="黑体"/>
          <w:color w:val="231F20"/>
          <w:spacing w:val="0"/>
          <w:w w:val="100"/>
          <w:sz w:val="32"/>
          <w:szCs w:val="32"/>
        </w:rPr>
      </w:pPr>
    </w:p>
    <w:p>
      <w:pPr>
        <w:spacing w:before="105" w:line="183" w:lineRule="auto"/>
        <w:ind w:firstLine="403"/>
        <w:jc w:val="center"/>
        <w:rPr>
          <w:rFonts w:hint="eastAsia" w:ascii="仿宋" w:hAnsi="仿宋" w:eastAsia="仿宋" w:cs="仿宋"/>
          <w:b/>
          <w:bCs/>
          <w:spacing w:val="0"/>
          <w:w w:val="100"/>
          <w:sz w:val="28"/>
          <w:szCs w:val="28"/>
          <w:u w:val="none"/>
          <w:lang w:val="en-US" w:eastAsia="zh-CN"/>
        </w:rPr>
      </w:pPr>
      <w:r>
        <w:rPr>
          <w:rFonts w:hint="eastAsia" w:ascii="仿宋" w:hAnsi="仿宋" w:eastAsia="仿宋" w:cs="仿宋"/>
          <w:b/>
          <w:bCs/>
          <w:spacing w:val="0"/>
          <w:w w:val="100"/>
          <w:sz w:val="28"/>
          <w:szCs w:val="28"/>
          <w:u w:val="none"/>
          <w:lang w:val="en-US" w:eastAsia="zh-CN"/>
        </w:rPr>
        <w:t>（市场监督管理部门将依法向社会公开行政处罚决定信息）</w:t>
      </w:r>
    </w:p>
    <w:p>
      <w:pPr>
        <w:spacing w:line="261" w:lineRule="auto"/>
        <w:rPr>
          <w:rFonts w:ascii="Microsoft JhengHei"/>
          <w:spacing w:val="0"/>
          <w:w w:val="100"/>
        </w:rPr>
      </w:pPr>
    </w:p>
    <w:p>
      <w:pPr>
        <w:spacing w:line="261" w:lineRule="auto"/>
        <w:rPr>
          <w:rFonts w:ascii="Microsoft JhengHei"/>
          <w:spacing w:val="0"/>
          <w:w w:val="100"/>
        </w:rPr>
      </w:pPr>
    </w:p>
    <w:p>
      <w:pPr>
        <w:spacing w:line="26" w:lineRule="exact"/>
        <w:textAlignment w:val="center"/>
        <w:rPr>
          <w:spacing w:val="0"/>
          <w:w w:val="100"/>
        </w:rPr>
      </w:pPr>
      <w:r>
        <w:rPr>
          <w:spacing w:val="0"/>
          <w:w w:val="100"/>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a:stretch>
                      <a:fillRect/>
                    </a:stretch>
                  </pic:blipFill>
                  <pic:spPr>
                    <a:xfrm>
                      <a:off x="0" y="0"/>
                      <a:ext cx="5550535" cy="16509"/>
                    </a:xfrm>
                    <a:prstGeom prst="rect">
                      <a:avLst/>
                    </a:prstGeom>
                  </pic:spPr>
                </pic:pic>
              </a:graphicData>
            </a:graphic>
          </wp:inline>
        </w:drawing>
      </w:r>
    </w:p>
    <w:p>
      <w:pPr>
        <w:spacing w:before="106" w:line="183" w:lineRule="auto"/>
        <w:ind w:firstLine="231"/>
        <w:rPr>
          <w:spacing w:val="0"/>
          <w:w w:val="100"/>
        </w:rPr>
      </w:pPr>
      <w:r>
        <w:rPr>
          <w:rFonts w:ascii="仿宋" w:hAnsi="仿宋" w:eastAsia="仿宋" w:cs="仿宋"/>
          <w:spacing w:val="0"/>
          <w:w w:val="100"/>
          <w:sz w:val="32"/>
          <w:szCs w:val="32"/>
        </w:rPr>
        <w:t>本文书一</w:t>
      </w:r>
      <w:r>
        <w:rPr>
          <w:rFonts w:ascii="仿宋" w:hAnsi="仿宋" w:eastAsia="仿宋" w:cs="仿宋"/>
          <w:spacing w:val="0"/>
          <w:w w:val="100"/>
          <w:sz w:val="32"/>
          <w:szCs w:val="32"/>
          <w:u w:val="none"/>
        </w:rPr>
        <w:t>式</w:t>
      </w:r>
      <w:r>
        <w:rPr>
          <w:rFonts w:hint="eastAsia" w:ascii="仿宋" w:hAnsi="仿宋" w:eastAsia="仿宋" w:cs="仿宋"/>
          <w:spacing w:val="0"/>
          <w:w w:val="100"/>
          <w:sz w:val="32"/>
          <w:szCs w:val="32"/>
          <w:u w:val="none"/>
          <w:lang w:val="en-US" w:eastAsia="zh-CN"/>
        </w:rPr>
        <w:t>二</w:t>
      </w:r>
      <w:r>
        <w:rPr>
          <w:rFonts w:ascii="仿宋" w:hAnsi="仿宋" w:eastAsia="仿宋" w:cs="仿宋"/>
          <w:spacing w:val="0"/>
          <w:w w:val="100"/>
          <w:sz w:val="32"/>
          <w:szCs w:val="32"/>
          <w:u w:val="none"/>
        </w:rPr>
        <w:t>份，</w:t>
      </w:r>
      <w:r>
        <w:rPr>
          <w:rFonts w:hint="eastAsia" w:ascii="仿宋" w:hAnsi="仿宋" w:eastAsia="仿宋" w:cs="仿宋"/>
          <w:spacing w:val="0"/>
          <w:w w:val="100"/>
          <w:sz w:val="32"/>
          <w:szCs w:val="32"/>
          <w:u w:val="none"/>
          <w:lang w:val="en-US" w:eastAsia="zh-CN"/>
        </w:rPr>
        <w:t>一</w:t>
      </w:r>
      <w:r>
        <w:rPr>
          <w:rFonts w:ascii="仿宋" w:hAnsi="仿宋" w:eastAsia="仿宋" w:cs="仿宋"/>
          <w:spacing w:val="0"/>
          <w:w w:val="100"/>
          <w:sz w:val="32"/>
          <w:szCs w:val="32"/>
          <w:u w:val="none"/>
        </w:rPr>
        <w:t>份送达，</w:t>
      </w:r>
      <w:r>
        <w:rPr>
          <w:rFonts w:hint="eastAsia" w:ascii="仿宋" w:hAnsi="仿宋" w:eastAsia="仿宋" w:cs="仿宋"/>
          <w:spacing w:val="0"/>
          <w:w w:val="100"/>
          <w:sz w:val="32"/>
          <w:szCs w:val="32"/>
          <w:u w:val="none"/>
          <w:lang w:val="en-US" w:eastAsia="zh-CN"/>
        </w:rPr>
        <w:t>一</w:t>
      </w:r>
      <w:r>
        <w:rPr>
          <w:rFonts w:ascii="仿宋" w:hAnsi="仿宋" w:eastAsia="仿宋" w:cs="仿宋"/>
          <w:spacing w:val="0"/>
          <w:w w:val="100"/>
          <w:sz w:val="32"/>
          <w:szCs w:val="32"/>
          <w:u w:val="none"/>
        </w:rPr>
        <w:t>份归档</w:t>
      </w:r>
      <w:r>
        <w:rPr>
          <w:rFonts w:hint="eastAsia" w:ascii="仿宋" w:hAnsi="仿宋" w:eastAsia="仿宋" w:cs="仿宋"/>
          <w:spacing w:val="0"/>
          <w:w w:val="100"/>
          <w:sz w:val="32"/>
          <w:szCs w:val="32"/>
          <w:u w:val="non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
    <w:altName w:val="Times New Roman"/>
    <w:panose1 w:val="000000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523EB0"/>
    <w:rsid w:val="016A6FD7"/>
    <w:rsid w:val="04293CFB"/>
    <w:rsid w:val="0B3440E4"/>
    <w:rsid w:val="0D447276"/>
    <w:rsid w:val="0DBD22EC"/>
    <w:rsid w:val="0DC12675"/>
    <w:rsid w:val="114C2FAE"/>
    <w:rsid w:val="11621A79"/>
    <w:rsid w:val="14515DD5"/>
    <w:rsid w:val="23AD74CB"/>
    <w:rsid w:val="24B9255E"/>
    <w:rsid w:val="25227A45"/>
    <w:rsid w:val="253A7874"/>
    <w:rsid w:val="26127922"/>
    <w:rsid w:val="264E7E89"/>
    <w:rsid w:val="27181761"/>
    <w:rsid w:val="289A78F2"/>
    <w:rsid w:val="29B35913"/>
    <w:rsid w:val="2A306760"/>
    <w:rsid w:val="2BEB12ED"/>
    <w:rsid w:val="2C545A11"/>
    <w:rsid w:val="2F8512FC"/>
    <w:rsid w:val="30175A94"/>
    <w:rsid w:val="353F631E"/>
    <w:rsid w:val="39B20F40"/>
    <w:rsid w:val="3AFB3A56"/>
    <w:rsid w:val="3AFE1F63"/>
    <w:rsid w:val="3BF75330"/>
    <w:rsid w:val="3E8D1F7B"/>
    <w:rsid w:val="414D154E"/>
    <w:rsid w:val="41913B31"/>
    <w:rsid w:val="42E27DDC"/>
    <w:rsid w:val="44185E43"/>
    <w:rsid w:val="452A2718"/>
    <w:rsid w:val="464F5D68"/>
    <w:rsid w:val="474F4272"/>
    <w:rsid w:val="47BA0375"/>
    <w:rsid w:val="4D724A1E"/>
    <w:rsid w:val="526470DD"/>
    <w:rsid w:val="53553D5C"/>
    <w:rsid w:val="54ED50CA"/>
    <w:rsid w:val="55F46D30"/>
    <w:rsid w:val="591F781C"/>
    <w:rsid w:val="5BF3746A"/>
    <w:rsid w:val="5C58107B"/>
    <w:rsid w:val="5C7B2FBB"/>
    <w:rsid w:val="5C86208C"/>
    <w:rsid w:val="5E457324"/>
    <w:rsid w:val="63D74F7B"/>
    <w:rsid w:val="642D1729"/>
    <w:rsid w:val="658B24C1"/>
    <w:rsid w:val="65CE23AE"/>
    <w:rsid w:val="66C739CD"/>
    <w:rsid w:val="69293CA2"/>
    <w:rsid w:val="6A252073"/>
    <w:rsid w:val="6AB959E6"/>
    <w:rsid w:val="6BE5323D"/>
    <w:rsid w:val="6F842A78"/>
    <w:rsid w:val="72AF2EBE"/>
    <w:rsid w:val="751B33A8"/>
    <w:rsid w:val="77365F93"/>
    <w:rsid w:val="78D37FAF"/>
    <w:rsid w:val="795B53DC"/>
    <w:rsid w:val="7A08324D"/>
    <w:rsid w:val="7C091DFF"/>
    <w:rsid w:val="7C337D02"/>
    <w:rsid w:val="7D0A7D18"/>
    <w:rsid w:val="7DA55C93"/>
    <w:rsid w:val="7E726C6A"/>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spacing w:line="199" w:lineRule="auto"/>
      <w:jc w:val="center"/>
      <w:outlineLvl w:val="0"/>
    </w:pPr>
    <w:rPr>
      <w:rFonts w:ascii="Microsoft JhengHei" w:hAnsi="Microsoft JhengHei" w:eastAsia="Microsoft JhengHei" w:cs="Microsoft JhengHei"/>
      <w:spacing w:val="-2"/>
      <w:sz w:val="44"/>
      <w:szCs w:val="4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media/image1.png" Type="http://schemas.openxmlformats.org/officeDocument/2006/relationships/image"/><Relationship Id="rId7" Target="../customXml/item1.xml" Type="http://schemas.openxmlformats.org/officeDocument/2006/relationships/customXml"/><Relationship Id="rId8"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2024-02-28T02:14:00Z</dcterms:created>
  <dc:creator>admin</dc:creator>
  <cp:lastModifiedBy>魏金伟</cp:lastModifiedBy>
  <dcterms:modified xsi:type="dcterms:W3CDTF">2025-06-09T08:56:44Z</dcterms:modified>
  <dc:title>莆田市市场监督管理局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418C01DBAB86420BB5E3D98C8368170E_12</vt:lpwstr>
  </property>
</Properties>
</file>