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cs="宋体"/>
          <w:b/>
          <w:sz w:val="44"/>
          <w:szCs w:val="44"/>
        </w:rPr>
      </w:pPr>
      <w:r>
        <w:rPr>
          <w:rFonts w:hint="eastAsia" w:ascii="宋体" w:hAnsi="宋体" w:cs="宋体"/>
          <w:b/>
          <w:sz w:val="44"/>
          <w:szCs w:val="44"/>
        </w:rPr>
        <w:t>莆田市市场监督管理局</w:t>
      </w:r>
    </w:p>
    <w:p>
      <w:pPr>
        <w:spacing w:line="460" w:lineRule="exact"/>
        <w:jc w:val="center"/>
        <w:rPr>
          <w:rFonts w:hint="eastAsia" w:ascii="宋体" w:hAnsi="宋体" w:cs="宋体"/>
          <w:b/>
          <w:sz w:val="44"/>
          <w:szCs w:val="44"/>
        </w:rPr>
      </w:pPr>
      <w:r>
        <w:rPr>
          <w:rFonts w:hint="eastAsia" w:ascii="宋体" w:hAnsi="宋体" w:cs="宋体"/>
          <w:b/>
          <w:sz w:val="44"/>
          <w:szCs w:val="44"/>
        </w:rPr>
        <w:t>行政处罚决定书</w:t>
      </w:r>
    </w:p>
    <w:p>
      <w:pPr>
        <w:spacing w:line="440" w:lineRule="exact"/>
        <w:jc w:val="center"/>
        <w:rPr>
          <w:rFonts w:hint="eastAsia" w:ascii="Times New Roman" w:hAnsi="Times New Roman" w:eastAsia="宋体" w:cs="Times New Roman"/>
          <w:color w:val="231F20"/>
          <w:spacing w:val="0"/>
          <w:sz w:val="24"/>
          <w:szCs w:val="24"/>
          <w:u w:val="none"/>
          <w:lang w:val="en-US" w:eastAsia="zh-CN"/>
        </w:rPr>
      </w:pPr>
      <w:r>
        <w:rPr>
          <w:rFonts w:hint="eastAsia" w:ascii="仿宋_GB2312" w:hAnsi="仿宋_GB2312" w:eastAsia="仿宋_GB2312"/>
          <w:spacing w:val="-3"/>
          <w:sz w:val="32"/>
          <w:szCs w:val="32"/>
          <w:lang w:val="en-US" w:eastAsia="zh-CN"/>
        </w:rPr>
        <w:t>莆市监处罚</w:t>
      </w:r>
      <w:r>
        <w:rPr>
          <w:rFonts w:hint="eastAsia" w:ascii="仿宋_GB2312" w:hAnsi="仿宋_GB2312" w:eastAsia="仿宋_GB2312"/>
          <w:spacing w:val="-3"/>
          <w:sz w:val="30"/>
          <w:szCs w:val="30"/>
          <w:lang w:val="en-US" w:eastAsia="zh-CN"/>
        </w:rPr>
        <w:t>〔2025〕02240001号</w:t>
      </w:r>
      <w:r>
        <w:rPr>
          <w:rFonts w:hint="eastAsia"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val="0"/>
        <w:snapToGrid/>
        <w:spacing w:line="520" w:lineRule="exact"/>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当事人：</w:t>
      </w:r>
      <w:r>
        <w:rPr>
          <w:rFonts w:hint="eastAsia" w:ascii="仿宋_GB2312" w:hAnsi="仿宋_GB2312" w:eastAsia="仿宋_GB2312" w:cs="Times New Roman"/>
          <w:spacing w:val="-3"/>
          <w:sz w:val="32"/>
          <w:szCs w:val="32"/>
          <w:lang w:val="en-US" w:eastAsia="zh-CN"/>
        </w:rPr>
        <w:t>莆田市城厢区品洁水果批发店</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20" w:lineRule="exact"/>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主体资格证照名称：《营业执照》</w:t>
      </w:r>
    </w:p>
    <w:p>
      <w:pPr>
        <w:keepNext w:val="0"/>
        <w:keepLines w:val="0"/>
        <w:pageBreakBefore w:val="0"/>
        <w:widowControl w:val="0"/>
        <w:kinsoku/>
        <w:wordWrap/>
        <w:overflowPunct/>
        <w:topLinePunct w:val="0"/>
        <w:autoSpaceDE/>
        <w:autoSpaceDN/>
        <w:bidi w:val="0"/>
        <w:adjustRightInd w:val="0"/>
        <w:snapToGrid/>
        <w:spacing w:line="520" w:lineRule="exact"/>
        <w:jc w:val="both"/>
        <w:textAlignment w:val="baseline"/>
        <w:rPr>
          <w:rFonts w:hint="eastAsia" w:ascii="仿宋" w:hAnsi="仿宋" w:eastAsia="仿宋" w:cs="仿宋"/>
          <w:color w:val="auto"/>
          <w:kern w:val="21"/>
          <w:sz w:val="32"/>
          <w:szCs w:val="32"/>
          <w:lang w:val="en-US" w:eastAsia="zh-CN" w:bidi="ar-SA"/>
        </w:rPr>
      </w:pPr>
      <w:r>
        <w:rPr>
          <w:rFonts w:hint="eastAsia" w:ascii="仿宋" w:hAnsi="仿宋" w:eastAsia="仿宋" w:cs="仿宋"/>
          <w:sz w:val="32"/>
          <w:szCs w:val="32"/>
          <w:lang w:val="en-US" w:eastAsia="zh-CN"/>
        </w:rPr>
        <w:t>统一社会信用代码：</w:t>
      </w:r>
      <w:r>
        <w:rPr>
          <w:rFonts w:hint="eastAsia" w:ascii="仿宋" w:hAnsi="仿宋" w:eastAsia="仿宋" w:cs="仿宋"/>
          <w:color w:val="auto"/>
          <w:kern w:val="21"/>
          <w:sz w:val="32"/>
          <w:szCs w:val="32"/>
          <w:lang w:val="en-US" w:eastAsia="zh-CN" w:bidi="ar-SA"/>
        </w:rPr>
        <w:t>92350302MA31QYQT0K</w:t>
      </w:r>
    </w:p>
    <w:p>
      <w:pPr>
        <w:keepNext w:val="0"/>
        <w:keepLines w:val="0"/>
        <w:pageBreakBefore w:val="0"/>
        <w:widowControl w:val="0"/>
        <w:kinsoku/>
        <w:wordWrap/>
        <w:overflowPunct/>
        <w:topLinePunct w:val="0"/>
        <w:autoSpaceDE/>
        <w:autoSpaceDN/>
        <w:bidi w:val="0"/>
        <w:adjustRightInd w:val="0"/>
        <w:snapToGrid/>
        <w:spacing w:line="520" w:lineRule="exact"/>
        <w:jc w:val="both"/>
        <w:textAlignment w:val="baseline"/>
        <w:rPr>
          <w:rFonts w:hint="eastAsia" w:ascii="仿宋" w:hAnsi="仿宋" w:eastAsia="仿宋" w:cs="仿宋"/>
          <w:color w:val="auto"/>
          <w:kern w:val="21"/>
          <w:sz w:val="32"/>
          <w:szCs w:val="32"/>
          <w:lang w:val="en-US" w:eastAsia="zh-CN" w:bidi="ar-SA"/>
        </w:rPr>
      </w:pPr>
      <w:r>
        <w:rPr>
          <w:rFonts w:hint="eastAsia" w:ascii="仿宋" w:hAnsi="仿宋" w:eastAsia="仿宋" w:cs="仿宋"/>
          <w:color w:val="auto"/>
          <w:kern w:val="21"/>
          <w:sz w:val="32"/>
          <w:szCs w:val="32"/>
          <w:lang w:val="en-US" w:eastAsia="zh-CN" w:bidi="ar-SA"/>
        </w:rPr>
        <w:t>经营场所：福建省莆田市城厢区凤凰山街道昌盛路51号</w:t>
      </w:r>
    </w:p>
    <w:p>
      <w:pPr>
        <w:keepNext w:val="0"/>
        <w:keepLines w:val="0"/>
        <w:pageBreakBefore w:val="0"/>
        <w:widowControl w:val="0"/>
        <w:kinsoku/>
        <w:wordWrap/>
        <w:overflowPunct/>
        <w:topLinePunct w:val="0"/>
        <w:autoSpaceDE/>
        <w:autoSpaceDN/>
        <w:bidi w:val="0"/>
        <w:adjustRightInd w:val="0"/>
        <w:snapToGrid/>
        <w:spacing w:line="520" w:lineRule="exact"/>
        <w:jc w:val="both"/>
        <w:textAlignment w:val="baseline"/>
        <w:rPr>
          <w:rFonts w:hint="eastAsia" w:ascii="仿宋" w:hAnsi="仿宋" w:eastAsia="仿宋" w:cs="仿宋"/>
          <w:color w:val="auto"/>
          <w:kern w:val="21"/>
          <w:sz w:val="32"/>
          <w:szCs w:val="32"/>
          <w:lang w:val="en-US" w:eastAsia="zh-CN" w:bidi="ar-SA"/>
        </w:rPr>
      </w:pPr>
      <w:r>
        <w:rPr>
          <w:rFonts w:hint="eastAsia" w:ascii="仿宋" w:hAnsi="仿宋" w:eastAsia="仿宋" w:cs="仿宋"/>
          <w:color w:val="auto"/>
          <w:kern w:val="21"/>
          <w:sz w:val="32"/>
          <w:szCs w:val="32"/>
          <w:lang w:val="en-US" w:eastAsia="zh-CN" w:bidi="ar-SA"/>
        </w:rPr>
        <w:t>经营者：张洁</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bookmarkStart w:id="0" w:name="_GoBack"/>
      <w:bookmarkEnd w:id="0"/>
      <w:r>
        <w:rPr>
          <w:rFonts w:hint="eastAsia" w:ascii="仿宋" w:hAnsi="仿宋" w:eastAsia="仿宋" w:cs="仿宋"/>
          <w:color w:val="231F20"/>
          <w:kern w:val="21"/>
          <w:szCs w:val="32"/>
          <w:lang w:val="en-US" w:eastAsia="zh-CN"/>
        </w:rPr>
        <w:t>2024年10月28日，莆田市市场监督管理局委托谱尼测试集团深圳有限公司对莆田市富丰超市有限公司采购的“绿橙”（抽样时间2024年10月28日，购进日期2024年10月18日）进行监督抽样。经抽样检验，上述“绿橙”的联苯菊酯项目不符合GB2763-2021《食品安全国家标准 食品中农药最大残留限量》要求,检验结论为不合格。根据莆田市富丰超市有限公司涉嫌销售“绿橙”的案件线索溯源，其销售的不合格“绿橙”由莆田市城厢区品洁水果批发店供货，并能提供相应的供货凭证。</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2024年11月28日，我局依法对委托代理人张素霞进行询问调查。</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根据溯源调查，涉案抽检不合格“绿橙”确是由莆田市城厢区品洁水果批发店供货给莆田市富丰超市有限公司。</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2024年12月4日，我局第二次依法对委托代理人张素霞进行询问调查。</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2024年12月11日，我局发函福州市市场监督管理局（委托代理人张素霞提供的供货方福州海峡果品批发市场能驱商行管辖单位）请求协助调查，并收到2025年1月7日闽侯县市场监督管理局的复函。</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福州海峡果品批发市场能驱商行否认于2024年10月18日曾向莆田市城厢区品洁水果批发店销售绿橙。</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2025年2月20日，我局对当事人涉嫌销售不符合食品安全标准的绿橙一事予以立案调查。</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2024年10月28日，莆田市市场监督管理局委托谱尼测试集团深圳有限公司对莆田市富丰超市有限公司采购的“绿橙”（抽样时间2024年10月28日，购进日期2024年10月18日）进行监督抽样。经抽样检验，上述“绿橙”的联苯菊酯项目不符合GB2763-2021《食品安全国家标准 食品中农药最大残留限量》要求,检验结论为不合格。</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经查，当事人无法提供所述涉案的“绿橙”的供货凭证、购进记录和供货方资质材料。供货方福州海峡果品批发市场能驱商行否认于2024年10月18日向当事人销售涉案的绿橙，当事人销售的该批次不合格绿橙按照销往莆田市富丰超市有限公司数量76.4斤、销售价格2.2元/斤计算，其货值金额共计168.08元，违法所得无法查清。</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上述事实，主要有以下证据证明：</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1、谱尼测试集团深圳有限公司出具的《检验报告》（No：C1EA29019C1F60L5412)及食品安全抽样检验结果通知书（DBJ24350300601831771）1份证明涉案的“绿橙”不合格；</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2、2024年11月27日我局对莆田市富丰超市有限公司委托代理人林花晶的询问笔录，其提交的进货票据、验收入库单、销售记录、供货方莆田市城厢区品洁水果批发店的营业执照各1份证明案件线索来源；</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default"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3、协助调查函（莆市监执函〔2024〕501号）和复函各一份证明涉案产品溯源情况；</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 xml:space="preserve">4、莆田市城厢区品洁水果批发店营业执照和经营者张洁的身份证复印件各1份，证明当事人的主体资格情况； </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 xml:space="preserve">5、授权委托书、委托代理人身份证复印件各1份，证明委托代理情况；                                    </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6、2024年11月28日、2024年12月4日我局对委托代理人张素霞的询问笔录各1份，证明当事人对其销售“绿橙”有关情况的陈述。</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本局于2025年4月21日对当事人依法送达《行政处罚告知书》，告知当事人拟作出行政处罚的事实、理由、依据、处罚内容及其依法享有的陈述、申辩权利，当事人在法定期限内未进行陈述、申辩要求。</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当事人销售不符合食品安全标准的绿橙的行为，违反了《中华人民共和国食品安全法》第三十四条第（二）项的规定，属于经营农药残留含量超过食品安全标准限量的食品。</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当事人采购食品时未履行进货查验记录制度的行为，违反了《中华人民共和国食品安全法》第六十五条的规定。</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鉴于当事了呢销售不符合食品安全标准的绿橙的行为，符合《福建省市场监管领域行政执法裁量四张清单（修订）》的“减轻处罚事项清单”第20项的情形，给予减轻处罚。</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当事人采购食品时未履行进货查验记录制度的行为。参照《福建省市场监督管理系统适用&lt;食品安全法&gt;行政处罚裁量基准》条款代号：SP-5裁量意见中罚款前提予以处罚。</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 xml:space="preserve"> 依据《中华人民共和国行政处罚法》第二十八条、第三十二条、《中华人民共和国食品安全法》第一百二十四条第一款第（一）项和第一百二十六条第一款、第四款的规定，责令当事人改正上述违法行为并给予以下行政处罚：</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处以罚款人民币6533.62元，上缴国库。</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对当事人采购食品时未履行进货查验记录制度的行为，给予警告。</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本处罚决定书自送达之日起生效，当事人应当自收到本处罚决定书之日起十五日内，凭“福建省非税收入缴款通知书”通过以下两种方式如数缴纳罚款：1.通过缴款通知书中指定的银行柜台、手银、网银等办理；2.通过微信或支付宝扫一扫“福建省非税收入收缴‘云缴费'二维码”进行缴费。到期不缴纳罚款的，依据《中华人民共和国行政处罚法》第七十二条第一款第（一）项的规定，每日按罚款数额的百分之三加处罚款。</w:t>
      </w:r>
    </w:p>
    <w:p>
      <w:pPr>
        <w:pStyle w:val="3"/>
        <w:keepNext w:val="0"/>
        <w:keepLines w:val="0"/>
        <w:pageBreakBefore w:val="0"/>
        <w:kinsoku/>
        <w:overflowPunct/>
        <w:topLinePunct/>
        <w:autoSpaceDE/>
        <w:autoSpaceDN/>
        <w:bidi w:val="0"/>
        <w:snapToGrid/>
        <w:spacing w:line="480" w:lineRule="exact"/>
        <w:ind w:left="-210" w:leftChars="-100" w:right="10" w:rightChars="5" w:firstLine="640" w:firstLineChars="200"/>
        <w:jc w:val="both"/>
        <w:textAlignment w:val="auto"/>
        <w:rPr>
          <w:rFonts w:hint="eastAsia" w:ascii="仿宋" w:hAnsi="仿宋" w:eastAsia="仿宋" w:cs="仿宋"/>
          <w:color w:val="231F20"/>
          <w:kern w:val="21"/>
          <w:szCs w:val="32"/>
          <w:lang w:val="en-US" w:eastAsia="zh-CN"/>
        </w:rPr>
      </w:pPr>
      <w:r>
        <w:rPr>
          <w:rFonts w:hint="eastAsia" w:ascii="仿宋" w:hAnsi="仿宋" w:eastAsia="仿宋" w:cs="仿宋"/>
          <w:color w:val="231F20"/>
          <w:kern w:val="21"/>
          <w:szCs w:val="32"/>
          <w:lang w:val="en-US" w:eastAsia="zh-CN"/>
        </w:rPr>
        <w:t>如不服本行政处罚决定，可在接到本处罚决定书之日起六十日内向莆田市人民政府申请行政复议，也可以在收到本处罚决定书之日起六个月内依法向莆田市荔城区人民法院提起诉讼。但在复议、诉讼期间，行政处罚不停止执行。</w:t>
      </w:r>
    </w:p>
    <w:p>
      <w:pPr>
        <w:pStyle w:val="3"/>
        <w:keepNext w:val="0"/>
        <w:keepLines w:val="0"/>
        <w:pageBreakBefore w:val="0"/>
        <w:widowControl w:val="0"/>
        <w:tabs>
          <w:tab w:val="left" w:pos="8880"/>
        </w:tabs>
        <w:kinsoku/>
        <w:wordWrap/>
        <w:overflowPunct/>
        <w:topLinePunct w:val="0"/>
        <w:autoSpaceDE w:val="0"/>
        <w:autoSpaceDN w:val="0"/>
        <w:bidi w:val="0"/>
        <w:adjustRightInd w:val="0"/>
        <w:snapToGrid/>
        <w:spacing w:beforeLines="0" w:afterLines="0" w:line="520" w:lineRule="exact"/>
        <w:ind w:left="0" w:leftChars="0" w:right="0" w:rightChars="0" w:firstLine="640" w:firstLineChars="200"/>
        <w:jc w:val="both"/>
        <w:textAlignment w:val="auto"/>
        <w:rPr>
          <w:rFonts w:hint="eastAsia" w:ascii="仿宋" w:hAnsi="仿宋" w:eastAsia="仿宋" w:cs="仿宋"/>
          <w:color w:val="231F20"/>
          <w:kern w:val="21"/>
          <w:sz w:val="32"/>
          <w:szCs w:val="32"/>
          <w:u w:val="none"/>
          <w:lang w:val="en-US" w:eastAsia="zh-CN" w:bidi="ar-SA"/>
        </w:rPr>
      </w:pPr>
      <w:r>
        <w:rPr>
          <w:rFonts w:hint="eastAsia" w:ascii="仿宋" w:hAnsi="仿宋" w:eastAsia="仿宋" w:cs="仿宋"/>
          <w:color w:val="231F20"/>
          <w:kern w:val="21"/>
          <w:sz w:val="32"/>
          <w:szCs w:val="32"/>
          <w:u w:val="none"/>
          <w:lang w:val="en-US" w:eastAsia="zh-CN" w:bidi="ar-SA"/>
        </w:rPr>
        <w:t>逾期不申请行政复议或者不向人民法院起诉，又不履行处罚决定的，本机关将申请人民法院强制执行。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right="19" w:rightChars="9"/>
        <w:jc w:val="left"/>
        <w:textAlignment w:val="auto"/>
        <w:rPr>
          <w:rFonts w:hint="eastAsia" w:ascii="宋体" w:hAnsi="宋体" w:cs="仿宋_GB2312"/>
          <w:color w:val="000000"/>
          <w:sz w:val="32"/>
          <w:szCs w:val="32"/>
        </w:rPr>
      </w:pPr>
      <w:r>
        <w:rPr>
          <w:rFonts w:hint="eastAsia" w:ascii="宋体" w:hAnsi="宋体" w:cs="仿宋_GB2312"/>
          <w:color w:val="000000"/>
          <w:sz w:val="32"/>
          <w:szCs w:val="32"/>
        </w:rPr>
        <w:t xml:space="preserve">    </w:t>
      </w:r>
      <w:r>
        <w:pict>
          <v:shape id="_x0000_s2056" o:spid="_x0000_s2056" o:spt="75" type="#_x0000_t75" style="position:absolute;left:0pt;margin-left:279pt;margin-top:17.4pt;height:124.8pt;width:88.35pt;z-index:251661312;mso-width-relative:page;mso-height-relative:page;" filled="f" stroked="f" coordsize="21600,21600" o:allowoverlap="f">
            <v:path/>
            <v:fill on="f" focussize="0,0"/>
            <v:stroke on="f"/>
            <v:imagedata r:id="rId4" o:title="9702658a80015925c07d31c1c0e389f"/>
            <o:lock v:ext="edit" aspectratio="t"/>
          </v:shape>
        </w:pict>
      </w:r>
      <w:r>
        <w:rPr>
          <w:rFonts w:hint="eastAsia" w:ascii="宋体" w:hAnsi="宋体" w:cs="仿宋_GB2312"/>
          <w:color w:val="000000"/>
          <w:sz w:val="32"/>
          <w:szCs w:val="32"/>
        </w:rPr>
        <w:t xml:space="preserve">    </w:t>
      </w:r>
    </w:p>
    <w:p>
      <w:pPr>
        <w:spacing w:line="480" w:lineRule="exact"/>
        <w:rPr>
          <w:rFonts w:hint="eastAsia" w:ascii="宋体" w:hAnsi="宋体" w:cs="仿宋_GB2312"/>
          <w:color w:val="000000"/>
          <w:sz w:val="32"/>
          <w:szCs w:val="32"/>
        </w:rPr>
      </w:pPr>
    </w:p>
    <w:p>
      <w:pPr>
        <w:spacing w:line="480" w:lineRule="exact"/>
        <w:rPr>
          <w:rFonts w:hint="eastAsia" w:ascii="仿宋" w:hAnsi="仿宋" w:eastAsia="仿宋" w:cs="仿宋"/>
          <w:sz w:val="32"/>
          <w:szCs w:val="32"/>
          <w:lang w:val="en-US" w:eastAsia="zh-CN"/>
        </w:rPr>
      </w:pPr>
      <w:r>
        <w:rPr>
          <w:rFonts w:hint="eastAsia" w:ascii="宋体" w:hAnsi="宋体" w:cs="仿宋_GB2312"/>
          <w:color w:val="000000"/>
          <w:sz w:val="32"/>
          <w:szCs w:val="32"/>
        </w:rPr>
        <w:t xml:space="preserve">   </w:t>
      </w:r>
      <w:r>
        <w:rPr>
          <w:rFonts w:hint="eastAsia" w:ascii="仿宋" w:hAnsi="仿宋" w:eastAsia="仿宋" w:cs="仿宋"/>
          <w:sz w:val="32"/>
          <w:szCs w:val="32"/>
          <w:lang w:val="en-US" w:eastAsia="zh-CN"/>
        </w:rPr>
        <w:t xml:space="preserve"> 附：“云缴费”二维码</w:t>
      </w:r>
    </w:p>
    <w:p>
      <w:pPr>
        <w:spacing w:line="480" w:lineRule="exact"/>
        <w:rPr>
          <w:rFonts w:hint="eastAsia" w:ascii="宋体" w:hAnsi="宋体"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9" w:rightChars="9"/>
        <w:jc w:val="left"/>
        <w:textAlignment w:val="auto"/>
        <w:rPr>
          <w:rFonts w:hint="eastAsia" w:ascii="仿宋" w:hAnsi="仿宋" w:eastAsia="仿宋" w:cs="仿宋"/>
          <w:snapToGrid w:val="0"/>
          <w:kern w:val="0"/>
          <w:sz w:val="32"/>
          <w:szCs w:val="32"/>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9" w:leftChars="-9" w:right="19" w:rightChars="9" w:firstLine="480" w:firstLineChars="150"/>
        <w:jc w:val="both"/>
        <w:textAlignment w:val="auto"/>
        <w:rPr>
          <w:rFonts w:hint="eastAsia" w:ascii="仿宋" w:hAnsi="仿宋" w:eastAsia="仿宋" w:cs="仿宋"/>
          <w:snapToGrid w:val="0"/>
          <w:kern w:val="0"/>
          <w:sz w:val="32"/>
          <w:szCs w:val="32"/>
          <w:u w:val="none"/>
          <w:lang w:val="en-US" w:eastAsia="zh-CN" w:bidi="ar-SA"/>
        </w:rPr>
      </w:pPr>
    </w:p>
    <w:p>
      <w:pPr>
        <w:spacing w:line="480" w:lineRule="exact"/>
        <w:rPr>
          <w:rFonts w:hint="eastAsia" w:ascii="宋体" w:hAnsi="宋体" w:cs="仿宋_GB2312"/>
          <w:color w:val="000000"/>
          <w:sz w:val="32"/>
          <w:szCs w:val="32"/>
        </w:rPr>
      </w:pPr>
    </w:p>
    <w:p>
      <w:pPr>
        <w:spacing w:line="480" w:lineRule="exact"/>
        <w:rPr>
          <w:rFonts w:hint="eastAsia" w:ascii="宋体" w:hAnsi="宋体" w:cs="仿宋_GB2312"/>
          <w:color w:val="000000"/>
          <w:sz w:val="32"/>
          <w:szCs w:val="32"/>
        </w:rPr>
      </w:pPr>
    </w:p>
    <w:p>
      <w:pPr>
        <w:keepNext w:val="0"/>
        <w:keepLines w:val="0"/>
        <w:pageBreakBefore w:val="0"/>
        <w:widowControl w:val="0"/>
        <w:kinsoku/>
        <w:overflowPunct/>
        <w:topLinePunct w:val="0"/>
        <w:autoSpaceDE/>
        <w:autoSpaceDN/>
        <w:bidi w:val="0"/>
        <w:spacing w:line="520" w:lineRule="exact"/>
        <w:ind w:left="-197" w:leftChars="-94" w:right="-199" w:rightChars="-95"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p>
    <w:p>
      <w:pPr>
        <w:keepNext w:val="0"/>
        <w:keepLines w:val="0"/>
        <w:pageBreakBefore w:val="0"/>
        <w:widowControl w:val="0"/>
        <w:kinsoku/>
        <w:overflowPunct/>
        <w:topLinePunct w:val="0"/>
        <w:autoSpaceDE/>
        <w:autoSpaceDN/>
        <w:bidi w:val="0"/>
        <w:spacing w:line="520" w:lineRule="exact"/>
        <w:ind w:right="-199" w:rightChars="-95" w:firstLine="4800" w:firstLineChars="150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 莆田市市场监督管理局</w:t>
      </w:r>
    </w:p>
    <w:p>
      <w:pPr>
        <w:keepNext w:val="0"/>
        <w:keepLines w:val="0"/>
        <w:pageBreakBefore w:val="0"/>
        <w:widowControl w:val="0"/>
        <w:kinsoku/>
        <w:overflowPunct/>
        <w:topLinePunct w:val="0"/>
        <w:autoSpaceDE/>
        <w:autoSpaceDN/>
        <w:bidi w:val="0"/>
        <w:spacing w:line="520" w:lineRule="exact"/>
        <w:ind w:left="-197" w:leftChars="-94" w:right="-199" w:rightChars="-95"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2025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w:t>
      </w:r>
    </w:p>
    <w:p>
      <w:pPr>
        <w:spacing w:line="460" w:lineRule="exact"/>
        <w:jc w:val="center"/>
        <w:rPr>
          <w:rFonts w:hint="eastAsia" w:ascii="宋体" w:hAnsi="宋体" w:cs="宋体"/>
          <w:b/>
          <w:sz w:val="44"/>
          <w:szCs w:val="44"/>
        </w:rPr>
      </w:pPr>
    </w:p>
    <w:p>
      <w:pPr>
        <w:spacing w:line="460" w:lineRule="exact"/>
        <w:jc w:val="center"/>
        <w:rPr>
          <w:rFonts w:hint="eastAsia" w:ascii="宋体" w:hAnsi="宋体" w:cs="宋体"/>
          <w:b/>
          <w:sz w:val="44"/>
          <w:szCs w:val="44"/>
        </w:rPr>
      </w:pPr>
    </w:p>
    <w:p>
      <w:pPr>
        <w:keepNext w:val="0"/>
        <w:keepLines w:val="0"/>
        <w:pageBreakBefore w:val="0"/>
        <w:widowControl w:val="0"/>
        <w:kinsoku/>
        <w:overflowPunct/>
        <w:topLinePunct w:val="0"/>
        <w:autoSpaceDE/>
        <w:autoSpaceDN/>
        <w:bidi w:val="0"/>
        <w:spacing w:line="520" w:lineRule="exact"/>
        <w:ind w:right="-199" w:rightChars="-95"/>
        <w:jc w:val="both"/>
        <w:rPr>
          <w:rFonts w:hint="eastAsia" w:ascii="仿宋" w:hAnsi="仿宋" w:eastAsia="仿宋" w:cs="仿宋"/>
          <w:color w:val="auto"/>
          <w:sz w:val="32"/>
          <w:szCs w:val="32"/>
        </w:rPr>
      </w:pPr>
    </w:p>
    <w:p>
      <w:pPr>
        <w:keepNext w:val="0"/>
        <w:keepLines w:val="0"/>
        <w:pageBreakBefore w:val="0"/>
        <w:kinsoku/>
        <w:overflowPunct/>
        <w:topLinePunct w:val="0"/>
        <w:autoSpaceDE/>
        <w:autoSpaceDN/>
        <w:bidi w:val="0"/>
        <w:spacing w:line="500" w:lineRule="exact"/>
        <w:ind w:right="640"/>
        <w:jc w:val="both"/>
        <w:textAlignment w:val="auto"/>
        <w:rPr>
          <w:rFonts w:hint="eastAsia" w:ascii="仿宋" w:hAnsi="仿宋" w:eastAsia="仿宋" w:cs="仿宋"/>
          <w:b/>
          <w:bCs/>
          <w:color w:val="000000"/>
          <w:sz w:val="32"/>
          <w:szCs w:val="32"/>
        </w:rPr>
      </w:pPr>
      <w:r>
        <w:pict>
          <v:line id="_x0000_s2054" o:spid="_x0000_s2054" o:spt="20" style="position:absolute;left:0pt;margin-left:-2.95pt;margin-top:29.3pt;height:0.05pt;width:437.05pt;z-index:251659264;mso-width-relative:page;mso-height-relative:page;" coordsize="21600,21600">
            <v:path arrowok="t"/>
            <v:fill focussize="0,0"/>
            <v:stroke weight="1.25pt"/>
            <v:imagedata o:title=""/>
            <o:lock v:ext="edit"/>
          </v:line>
        </w:pict>
      </w:r>
      <w:r>
        <w:rPr>
          <w:rFonts w:hint="eastAsia" w:ascii="仿宋" w:hAnsi="仿宋" w:eastAsia="仿宋" w:cs="仿宋"/>
          <w:b/>
          <w:bCs/>
          <w:color w:val="000000"/>
          <w:sz w:val="32"/>
          <w:szCs w:val="32"/>
        </w:rPr>
        <w:t>（本行政处罚决定信息将依法向社会进行公示）</w:t>
      </w:r>
    </w:p>
    <w:p>
      <w:pPr>
        <w:keepNext w:val="0"/>
        <w:keepLines w:val="0"/>
        <w:pageBreakBefore w:val="0"/>
        <w:widowControl w:val="0"/>
        <w:kinsoku/>
        <w:overflowPunct/>
        <w:topLinePunct w:val="0"/>
        <w:autoSpaceDE/>
        <w:autoSpaceDN/>
        <w:bidi w:val="0"/>
        <w:snapToGrid w:val="0"/>
        <w:spacing w:line="500" w:lineRule="exact"/>
        <w:ind w:left="-193" w:leftChars="-92" w:firstLine="396" w:firstLineChars="189"/>
        <w:textAlignment w:val="auto"/>
        <w:rPr>
          <w:rFonts w:hint="eastAsia"/>
        </w:rPr>
      </w:pPr>
      <w:r>
        <w:pict>
          <v:line id="图像25" o:spid="_x0000_s2055" o:spt="20" style="position:absolute;left:0pt;margin-left:0pt;margin-top:1638.35pt;height:0.1pt;width:453.75pt;z-index:251660288;mso-width-relative:page;mso-height-relative:page;" coordsize="21600,21600">
            <v:path arrowok="t"/>
            <v:fill focussize="0,0"/>
            <v:stroke weight="0.737007874015748pt" endcap="square"/>
            <v:imagedata o:title=""/>
            <o:lock v:ext="edit"/>
          </v:line>
        </w:pic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份，</w:t>
      </w:r>
      <w:r>
        <w:rPr>
          <w:rFonts w:ascii="仿宋" w:hAnsi="仿宋" w:eastAsia="仿宋" w:cs="仿宋"/>
          <w:color w:val="000000"/>
          <w:sz w:val="32"/>
          <w:szCs w:val="32"/>
          <w:u w:val="none"/>
        </w:rPr>
        <w:t>1</w:t>
      </w:r>
      <w:r>
        <w:rPr>
          <w:rFonts w:hint="eastAsia" w:ascii="仿宋" w:hAnsi="仿宋" w:eastAsia="仿宋" w:cs="仿宋"/>
          <w:color w:val="000000"/>
          <w:sz w:val="32"/>
          <w:szCs w:val="32"/>
        </w:rPr>
        <w:t>份送达，</w:t>
      </w:r>
      <w:r>
        <w:rPr>
          <w:rFonts w:ascii="仿宋" w:hAnsi="仿宋" w:eastAsia="仿宋" w:cs="仿宋"/>
          <w:color w:val="000000"/>
          <w:sz w:val="32"/>
          <w:szCs w:val="32"/>
        </w:rPr>
        <w:t>1</w:t>
      </w:r>
      <w:r>
        <w:rPr>
          <w:rFonts w:hint="eastAsia" w:ascii="仿宋" w:hAnsi="仿宋" w:eastAsia="仿宋" w:cs="仿宋"/>
          <w:color w:val="000000"/>
          <w:sz w:val="32"/>
          <w:szCs w:val="32"/>
        </w:rPr>
        <w:t>份归档，</w:t>
      </w:r>
      <w:r>
        <w:rPr>
          <w:rFonts w:ascii="仿宋" w:hAnsi="仿宋" w:eastAsia="仿宋" w:cs="仿宋"/>
          <w:color w:val="000000"/>
          <w:sz w:val="32"/>
          <w:szCs w:val="32"/>
        </w:rPr>
        <w:t>1</w:t>
      </w:r>
      <w:r>
        <w:rPr>
          <w:rFonts w:hint="eastAsia" w:ascii="仿宋" w:hAnsi="仿宋" w:eastAsia="仿宋" w:cs="仿宋"/>
          <w:color w:val="000000"/>
          <w:sz w:val="32"/>
          <w:szCs w:val="32"/>
        </w:rPr>
        <w:t>份承办机构存档。</w:t>
      </w:r>
    </w:p>
    <w:sectPr>
      <w:pgSz w:w="11906" w:h="16838"/>
      <w:pgMar w:top="1440" w:right="19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swiss"/>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CD0"/>
    <w:rsid w:val="0004789F"/>
    <w:rsid w:val="00056CD1"/>
    <w:rsid w:val="00070FFF"/>
    <w:rsid w:val="00086801"/>
    <w:rsid w:val="00086F86"/>
    <w:rsid w:val="000C792A"/>
    <w:rsid w:val="000D62EB"/>
    <w:rsid w:val="000E251E"/>
    <w:rsid w:val="000E32E2"/>
    <w:rsid w:val="000F734B"/>
    <w:rsid w:val="00102438"/>
    <w:rsid w:val="001F5AA6"/>
    <w:rsid w:val="00207B33"/>
    <w:rsid w:val="002248F0"/>
    <w:rsid w:val="0025032B"/>
    <w:rsid w:val="00251939"/>
    <w:rsid w:val="002630FF"/>
    <w:rsid w:val="00286D39"/>
    <w:rsid w:val="002909AB"/>
    <w:rsid w:val="002E71CF"/>
    <w:rsid w:val="002F5AA1"/>
    <w:rsid w:val="00314F3D"/>
    <w:rsid w:val="00325E63"/>
    <w:rsid w:val="00355D79"/>
    <w:rsid w:val="00374722"/>
    <w:rsid w:val="0037671C"/>
    <w:rsid w:val="00395B4D"/>
    <w:rsid w:val="00410179"/>
    <w:rsid w:val="00456702"/>
    <w:rsid w:val="00461527"/>
    <w:rsid w:val="00484A95"/>
    <w:rsid w:val="004C7B0C"/>
    <w:rsid w:val="004D4662"/>
    <w:rsid w:val="005343EE"/>
    <w:rsid w:val="00556BC6"/>
    <w:rsid w:val="00585DD2"/>
    <w:rsid w:val="00593CD0"/>
    <w:rsid w:val="005C3BC4"/>
    <w:rsid w:val="005F1948"/>
    <w:rsid w:val="005F54B8"/>
    <w:rsid w:val="005F60BA"/>
    <w:rsid w:val="00612B1F"/>
    <w:rsid w:val="0064109E"/>
    <w:rsid w:val="006B678C"/>
    <w:rsid w:val="006E232D"/>
    <w:rsid w:val="0071259C"/>
    <w:rsid w:val="00723FC7"/>
    <w:rsid w:val="0074682F"/>
    <w:rsid w:val="00775B67"/>
    <w:rsid w:val="007845BE"/>
    <w:rsid w:val="007C6A2E"/>
    <w:rsid w:val="007D71A3"/>
    <w:rsid w:val="007E69BA"/>
    <w:rsid w:val="007F2274"/>
    <w:rsid w:val="00802BAC"/>
    <w:rsid w:val="0083112D"/>
    <w:rsid w:val="0086112F"/>
    <w:rsid w:val="0089329E"/>
    <w:rsid w:val="008C681C"/>
    <w:rsid w:val="008D0304"/>
    <w:rsid w:val="008E7C7F"/>
    <w:rsid w:val="008F5B28"/>
    <w:rsid w:val="0091446F"/>
    <w:rsid w:val="00925431"/>
    <w:rsid w:val="009662D4"/>
    <w:rsid w:val="009B153C"/>
    <w:rsid w:val="009C51A8"/>
    <w:rsid w:val="009F581B"/>
    <w:rsid w:val="009F6B5A"/>
    <w:rsid w:val="00A02FB5"/>
    <w:rsid w:val="00A30992"/>
    <w:rsid w:val="00A40390"/>
    <w:rsid w:val="00A45B23"/>
    <w:rsid w:val="00A47DBE"/>
    <w:rsid w:val="00A9114F"/>
    <w:rsid w:val="00AA71F0"/>
    <w:rsid w:val="00B00628"/>
    <w:rsid w:val="00B0562F"/>
    <w:rsid w:val="00B76C22"/>
    <w:rsid w:val="00BA3E4C"/>
    <w:rsid w:val="00BA6F4F"/>
    <w:rsid w:val="00BF5EBD"/>
    <w:rsid w:val="00C20C26"/>
    <w:rsid w:val="00C308F2"/>
    <w:rsid w:val="00C309F8"/>
    <w:rsid w:val="00C456C0"/>
    <w:rsid w:val="00C56B18"/>
    <w:rsid w:val="00C664F3"/>
    <w:rsid w:val="00C85755"/>
    <w:rsid w:val="00C860D3"/>
    <w:rsid w:val="00CD0729"/>
    <w:rsid w:val="00CD18F0"/>
    <w:rsid w:val="00CD2BEA"/>
    <w:rsid w:val="00CF415D"/>
    <w:rsid w:val="00D0371B"/>
    <w:rsid w:val="00D32401"/>
    <w:rsid w:val="00D34EE3"/>
    <w:rsid w:val="00D44002"/>
    <w:rsid w:val="00D46FC6"/>
    <w:rsid w:val="00D84B56"/>
    <w:rsid w:val="00DF430D"/>
    <w:rsid w:val="00DF502E"/>
    <w:rsid w:val="00E34A3C"/>
    <w:rsid w:val="00E56712"/>
    <w:rsid w:val="00E9279C"/>
    <w:rsid w:val="00E92B11"/>
    <w:rsid w:val="00EA0A1C"/>
    <w:rsid w:val="00EB6630"/>
    <w:rsid w:val="00EF5892"/>
    <w:rsid w:val="00F35395"/>
    <w:rsid w:val="00F60134"/>
    <w:rsid w:val="00FC58C2"/>
    <w:rsid w:val="00FE318B"/>
    <w:rsid w:val="01411CFB"/>
    <w:rsid w:val="01940147"/>
    <w:rsid w:val="01AA176A"/>
    <w:rsid w:val="01DC0E50"/>
    <w:rsid w:val="05CA772C"/>
    <w:rsid w:val="06331507"/>
    <w:rsid w:val="067C17B0"/>
    <w:rsid w:val="07DF5492"/>
    <w:rsid w:val="09AD5D39"/>
    <w:rsid w:val="0CB652CB"/>
    <w:rsid w:val="0DAF398E"/>
    <w:rsid w:val="0EB1479D"/>
    <w:rsid w:val="0F012A83"/>
    <w:rsid w:val="102E4507"/>
    <w:rsid w:val="10BA4CF9"/>
    <w:rsid w:val="11D05C15"/>
    <w:rsid w:val="1208566F"/>
    <w:rsid w:val="13585A5C"/>
    <w:rsid w:val="13A658EC"/>
    <w:rsid w:val="13B9419F"/>
    <w:rsid w:val="1483394A"/>
    <w:rsid w:val="153B6938"/>
    <w:rsid w:val="16A75CBF"/>
    <w:rsid w:val="19B1620A"/>
    <w:rsid w:val="1B3C7A5C"/>
    <w:rsid w:val="1B464D7A"/>
    <w:rsid w:val="1D4C1737"/>
    <w:rsid w:val="21294DC1"/>
    <w:rsid w:val="22F957E6"/>
    <w:rsid w:val="232E5DDD"/>
    <w:rsid w:val="23A11B52"/>
    <w:rsid w:val="23AE467E"/>
    <w:rsid w:val="23B32612"/>
    <w:rsid w:val="26294D40"/>
    <w:rsid w:val="27365BAB"/>
    <w:rsid w:val="28147A36"/>
    <w:rsid w:val="28254D99"/>
    <w:rsid w:val="2AA31347"/>
    <w:rsid w:val="2CC71F1D"/>
    <w:rsid w:val="2CD32FC0"/>
    <w:rsid w:val="2E4A233D"/>
    <w:rsid w:val="2E5A5FB6"/>
    <w:rsid w:val="2ECD2C20"/>
    <w:rsid w:val="31361079"/>
    <w:rsid w:val="31A274A3"/>
    <w:rsid w:val="31F927F2"/>
    <w:rsid w:val="322B101D"/>
    <w:rsid w:val="332656E1"/>
    <w:rsid w:val="33481B5A"/>
    <w:rsid w:val="337531DB"/>
    <w:rsid w:val="34A61C9F"/>
    <w:rsid w:val="34CE4961"/>
    <w:rsid w:val="35730EC6"/>
    <w:rsid w:val="358423B7"/>
    <w:rsid w:val="37F73A4D"/>
    <w:rsid w:val="397101F3"/>
    <w:rsid w:val="3CD13240"/>
    <w:rsid w:val="3D215180"/>
    <w:rsid w:val="3DFF1F69"/>
    <w:rsid w:val="3EF13FA7"/>
    <w:rsid w:val="3FC2314C"/>
    <w:rsid w:val="4345332E"/>
    <w:rsid w:val="438476FC"/>
    <w:rsid w:val="476D4469"/>
    <w:rsid w:val="480968A6"/>
    <w:rsid w:val="4A0A40B8"/>
    <w:rsid w:val="4A4E176C"/>
    <w:rsid w:val="4B4C33EF"/>
    <w:rsid w:val="4CA10581"/>
    <w:rsid w:val="4D4D19F8"/>
    <w:rsid w:val="4DE97CD0"/>
    <w:rsid w:val="4E7005A8"/>
    <w:rsid w:val="51055EBE"/>
    <w:rsid w:val="519170A9"/>
    <w:rsid w:val="52D453F9"/>
    <w:rsid w:val="534A2640"/>
    <w:rsid w:val="53682285"/>
    <w:rsid w:val="54982D2B"/>
    <w:rsid w:val="5536773E"/>
    <w:rsid w:val="55851AF0"/>
    <w:rsid w:val="56F735BA"/>
    <w:rsid w:val="57516EC3"/>
    <w:rsid w:val="579D111E"/>
    <w:rsid w:val="597405A4"/>
    <w:rsid w:val="59F65421"/>
    <w:rsid w:val="5A0F176D"/>
    <w:rsid w:val="5D76071F"/>
    <w:rsid w:val="60CA6A0E"/>
    <w:rsid w:val="61247470"/>
    <w:rsid w:val="62D115D4"/>
    <w:rsid w:val="63240634"/>
    <w:rsid w:val="63B23CF8"/>
    <w:rsid w:val="63EA2797"/>
    <w:rsid w:val="654411D9"/>
    <w:rsid w:val="657C5A3E"/>
    <w:rsid w:val="677602AF"/>
    <w:rsid w:val="67ED336B"/>
    <w:rsid w:val="684248F2"/>
    <w:rsid w:val="68E9500C"/>
    <w:rsid w:val="694874AA"/>
    <w:rsid w:val="6A496747"/>
    <w:rsid w:val="6A5C0DD9"/>
    <w:rsid w:val="6CC92499"/>
    <w:rsid w:val="6CFD5F60"/>
    <w:rsid w:val="705C1C08"/>
    <w:rsid w:val="712B45E3"/>
    <w:rsid w:val="73714B20"/>
    <w:rsid w:val="75B869BF"/>
    <w:rsid w:val="75E87A15"/>
    <w:rsid w:val="798C010B"/>
    <w:rsid w:val="79E50E48"/>
    <w:rsid w:val="7A745D3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ody Text"/>
    <w:basedOn w:val="1"/>
    <w:unhideWhenUsed/>
    <w:qFormat/>
    <w:uiPriority w:val="1"/>
    <w:pPr>
      <w:spacing w:beforeLines="0" w:afterLines="0"/>
      <w:ind w:left="220"/>
    </w:pPr>
    <w:rPr>
      <w:rFonts w:hint="eastAsia" w:ascii="Arial Unicode MS" w:hAnsi="Arial Unicode MS" w:eastAsia="Arial Unicode MS"/>
      <w:sz w:val="32"/>
    </w:rPr>
  </w:style>
  <w:style w:type="paragraph" w:styleId="4">
    <w:name w:val="Date"/>
    <w:basedOn w:val="1"/>
    <w:next w:val="1"/>
    <w:link w:val="13"/>
    <w:qFormat/>
    <w:uiPriority w:val="99"/>
    <w:pPr>
      <w:ind w:left="100" w:leftChars="2500"/>
    </w:pPr>
  </w:style>
  <w:style w:type="paragraph" w:styleId="5">
    <w:name w:val="Balloon Text"/>
    <w:basedOn w:val="1"/>
    <w:link w:val="14"/>
    <w:semiHidden/>
    <w:qFormat/>
    <w:uiPriority w:val="99"/>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99"/>
    <w:pPr>
      <w:widowControl/>
      <w:spacing w:before="100" w:beforeAutospacing="1" w:after="100" w:afterAutospacing="1" w:line="480" w:lineRule="auto"/>
      <w:jc w:val="left"/>
    </w:pPr>
    <w:rPr>
      <w:rFonts w:ascii="宋体" w:hAnsi="宋体" w:cs="宋体"/>
      <w:sz w:val="18"/>
      <w:szCs w:val="18"/>
    </w:rPr>
  </w:style>
  <w:style w:type="paragraph" w:styleId="8">
    <w:name w:val="annotation subject"/>
    <w:basedOn w:val="2"/>
    <w:next w:val="2"/>
    <w:link w:val="15"/>
    <w:semiHidden/>
    <w:qFormat/>
    <w:uiPriority w:val="99"/>
    <w:rPr>
      <w:b/>
      <w:bCs/>
    </w:rPr>
  </w:style>
  <w:style w:type="character" w:styleId="11">
    <w:name w:val="annotation reference"/>
    <w:basedOn w:val="10"/>
    <w:semiHidden/>
    <w:qFormat/>
    <w:uiPriority w:val="99"/>
    <w:rPr>
      <w:sz w:val="21"/>
      <w:szCs w:val="21"/>
    </w:rPr>
  </w:style>
  <w:style w:type="character" w:customStyle="1" w:styleId="12">
    <w:name w:val="Comment Text Char"/>
    <w:basedOn w:val="10"/>
    <w:link w:val="2"/>
    <w:semiHidden/>
    <w:qFormat/>
    <w:locked/>
    <w:uiPriority w:val="99"/>
    <w:rPr>
      <w:rFonts w:ascii="Calibri" w:hAnsi="Calibri" w:cs="Calibri"/>
      <w:sz w:val="21"/>
      <w:szCs w:val="21"/>
    </w:rPr>
  </w:style>
  <w:style w:type="character" w:customStyle="1" w:styleId="13">
    <w:name w:val="Date Char"/>
    <w:basedOn w:val="10"/>
    <w:link w:val="4"/>
    <w:semiHidden/>
    <w:qFormat/>
    <w:locked/>
    <w:uiPriority w:val="99"/>
    <w:rPr>
      <w:sz w:val="21"/>
      <w:szCs w:val="21"/>
    </w:rPr>
  </w:style>
  <w:style w:type="character" w:customStyle="1" w:styleId="14">
    <w:name w:val="Balloon Text Char"/>
    <w:basedOn w:val="10"/>
    <w:link w:val="5"/>
    <w:semiHidden/>
    <w:qFormat/>
    <w:locked/>
    <w:uiPriority w:val="99"/>
    <w:rPr>
      <w:rFonts w:ascii="Calibri" w:hAnsi="Calibri" w:cs="Calibri"/>
      <w:sz w:val="2"/>
      <w:szCs w:val="2"/>
    </w:rPr>
  </w:style>
  <w:style w:type="character" w:customStyle="1" w:styleId="15">
    <w:name w:val="Comment Subject Char"/>
    <w:basedOn w:val="12"/>
    <w:link w:val="8"/>
    <w:semiHidden/>
    <w:qFormat/>
    <w:locked/>
    <w:uiPriority w:val="99"/>
    <w:rPr>
      <w:b/>
      <w:bCs/>
    </w:rPr>
  </w:style>
  <w:style w:type="paragraph" w:customStyle="1" w:styleId="16">
    <w:name w:val="Char"/>
    <w:basedOn w:val="1"/>
    <w:qFormat/>
    <w:uiPriority w:val="99"/>
    <w:rPr>
      <w:rFonts w:ascii="Times New Roman" w:hAnsi="Times New Roman" w:cs="Times New Roman"/>
    </w:rPr>
  </w:style>
  <w:style w:type="paragraph" w:customStyle="1" w:styleId="17">
    <w:name w:val="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8">
    <w:name w:val="Table Paragraph"/>
    <w:basedOn w:val="1"/>
    <w:unhideWhenUsed/>
    <w:qFormat/>
    <w:uiPriority w:val="1"/>
    <w:rPr>
      <w:rFonts w:hint="default"/>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4</Pages>
  <Words>378</Words>
  <Characters>2158</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null</cp:lastModifiedBy>
  <cp:lastPrinted>2024-08-29T08:59:00Z</cp:lastPrinted>
  <dcterms:modified xsi:type="dcterms:W3CDTF">2025-05-15T03:40:21Z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4BC4D466AF8D4E09BFCDBC8B951C223A</vt:lpwstr>
  </property>
</Properties>
</file>