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方正小标宋简体" w:hAnsi="方正小标宋简体" w:eastAsia="方正小标宋简体" w:cs="方正小标宋简体"/>
          <w:spacing w:val="0"/>
          <w:w w:val="100"/>
          <w:lang w:val="en-US" w:eastAsia="zh-CN"/>
        </w:rPr>
      </w:pPr>
      <w:r>
        <w:rPr>
          <w:rFonts w:hint="eastAsia" w:ascii="方正小标宋简体" w:hAnsi="方正小标宋简体" w:eastAsia="方正小标宋简体" w:cs="方正小标宋简体"/>
          <w:spacing w:val="0"/>
          <w:w w:val="100"/>
        </w:rPr>
        <w:t>莆田市市场监督管理局</w:t>
      </w:r>
    </w:p>
    <w:p>
      <w:pPr>
        <w:pStyle w:val="4"/>
        <w:rPr>
          <w:rFonts w:hint="eastAsia" w:ascii="方正小标宋简体" w:hAnsi="方正小标宋简体" w:eastAsia="方正小标宋简体" w:cs="方正小标宋简体"/>
          <w:spacing w:val="0"/>
          <w:w w:val="100"/>
        </w:rPr>
      </w:pPr>
      <w:r>
        <w:rPr>
          <w:rFonts w:hint="eastAsia" w:ascii="方正小标宋简体" w:hAnsi="方正小标宋简体" w:eastAsia="方正小标宋简体" w:cs="方正小标宋简体"/>
          <w:spacing w:val="0"/>
          <w:w w:val="100"/>
        </w:rPr>
        <w:t>行政处罚决定书</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before="157" w:beforeLines="50" w:after="157" w:afterLines="50" w:line="560" w:lineRule="exact"/>
        <w:jc w:val="center"/>
        <w:textAlignment w:val="baseline"/>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莆市监处罚〔2024〕07100003号</w:t>
      </w:r>
    </w:p>
    <w:p>
      <w:pPr>
        <w:keepNext w:val="0"/>
        <w:keepLines w:val="0"/>
        <w:pageBreakBefore w:val="0"/>
        <w:kinsoku/>
        <w:wordWrap/>
        <w:overflowPunct/>
        <w:topLinePunct w:val="0"/>
        <w:autoSpaceDE/>
        <w:autoSpaceDN/>
        <w:bidi w:val="0"/>
        <w:adjustRightInd/>
        <w:spacing w:line="580" w:lineRule="exact"/>
        <w:textAlignment w:val="auto"/>
        <w:outlineLvl w:val="9"/>
        <w:rPr>
          <w:rFonts w:hint="eastAsia" w:ascii="仿宋_GB2312" w:hAnsi="仿宋_GB2312" w:eastAsia="仿宋_GB2312"/>
          <w:spacing w:val="-3"/>
          <w:sz w:val="32"/>
          <w:szCs w:val="32"/>
          <w:highlight w:val="none"/>
        </w:rPr>
      </w:pPr>
      <w:r>
        <w:rPr>
          <w:rFonts w:hint="eastAsia" w:ascii="仿宋_GB2312" w:hAnsi="仿宋_GB2312" w:eastAsia="仿宋_GB2312"/>
          <w:spacing w:val="-3"/>
          <w:sz w:val="32"/>
          <w:szCs w:val="32"/>
          <w:highlight w:val="none"/>
        </w:rPr>
        <w:t>当事人：莆田市涵江区百有益肉联冷冻类农产品经销处</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Times New Roman" w:hAnsi="Times New Roman" w:eastAsia="仿宋_GB2312" w:cs="仿宋_GB2312"/>
          <w:b w:val="0"/>
          <w:bCs/>
          <w:sz w:val="32"/>
          <w:szCs w:val="32"/>
          <w:highlight w:val="none"/>
          <w:lang w:eastAsia="zh-CN"/>
        </w:rPr>
      </w:pPr>
      <w:r>
        <w:rPr>
          <w:rFonts w:hint="eastAsia" w:ascii="仿宋_GB2312" w:hAnsi="仿宋_GB2312" w:eastAsia="仿宋_GB2312"/>
          <w:spacing w:val="-3"/>
          <w:sz w:val="32"/>
          <w:szCs w:val="32"/>
          <w:highlight w:val="none"/>
          <w:lang w:eastAsia="zh-CN"/>
        </w:rPr>
        <w:t>主体资格证照名称：</w:t>
      </w:r>
      <w:r>
        <w:rPr>
          <w:rFonts w:hint="eastAsia" w:ascii="Times New Roman" w:hAnsi="Times New Roman" w:eastAsia="仿宋_GB2312" w:cs="仿宋_GB2312"/>
          <w:b w:val="0"/>
          <w:bCs/>
          <w:sz w:val="32"/>
          <w:szCs w:val="32"/>
          <w:highlight w:val="none"/>
          <w:lang w:eastAsia="zh-CN"/>
        </w:rPr>
        <w:t>营业执照</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Times New Roman" w:hAnsi="Times New Roman" w:eastAsia="仿宋_GB2312" w:cs="仿宋_GB2312"/>
          <w:b w:val="0"/>
          <w:bCs/>
          <w:sz w:val="32"/>
          <w:szCs w:val="32"/>
          <w:highlight w:val="none"/>
        </w:rPr>
      </w:pPr>
      <w:r>
        <w:rPr>
          <w:rFonts w:hint="eastAsia" w:ascii="Times New Roman" w:hAnsi="Times New Roman" w:eastAsia="仿宋_GB2312" w:cs="仿宋_GB2312"/>
          <w:b w:val="0"/>
          <w:bCs/>
          <w:sz w:val="32"/>
          <w:szCs w:val="32"/>
          <w:highlight w:val="none"/>
        </w:rPr>
        <w:t>注册号：350303600092481</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Times New Roman" w:hAnsi="Times New Roman" w:eastAsia="仿宋_GB2312" w:cs="仿宋_GB2312"/>
          <w:b w:val="0"/>
          <w:bCs/>
          <w:sz w:val="32"/>
          <w:szCs w:val="32"/>
          <w:highlight w:val="none"/>
          <w:lang w:eastAsia="zh-CN"/>
        </w:rPr>
      </w:pPr>
      <w:r>
        <w:rPr>
          <w:rFonts w:hint="eastAsia" w:ascii="Times New Roman" w:hAnsi="Times New Roman" w:eastAsia="仿宋_GB2312" w:cs="仿宋_GB2312"/>
          <w:b w:val="0"/>
          <w:bCs/>
          <w:sz w:val="32"/>
          <w:szCs w:val="32"/>
          <w:highlight w:val="none"/>
        </w:rPr>
        <w:t>经营场所</w:t>
      </w:r>
      <w:r>
        <w:rPr>
          <w:rFonts w:hint="eastAsia" w:ascii="Times New Roman" w:hAnsi="Times New Roman" w:eastAsia="仿宋_GB2312" w:cs="仿宋_GB2312"/>
          <w:b w:val="0"/>
          <w:bCs/>
          <w:sz w:val="32"/>
          <w:szCs w:val="32"/>
          <w:highlight w:val="none"/>
          <w:lang w:eastAsia="zh-CN"/>
        </w:rPr>
        <w:t>：</w:t>
      </w:r>
      <w:r>
        <w:rPr>
          <w:rFonts w:hint="eastAsia" w:ascii="仿宋_GB2312" w:hAnsi="仿宋_GB2312" w:eastAsia="仿宋_GB2312"/>
          <w:sz w:val="32"/>
          <w:szCs w:val="32"/>
          <w:highlight w:val="none"/>
        </w:rPr>
        <w:t>莆田市涵江区农贸市场一期A1店面</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Times New Roman" w:hAnsi="Times New Roman" w:eastAsia="仿宋_GB2312" w:cs="仿宋_GB2312"/>
          <w:b w:val="0"/>
          <w:bCs/>
          <w:sz w:val="32"/>
          <w:szCs w:val="32"/>
          <w:highlight w:val="none"/>
        </w:rPr>
      </w:pPr>
      <w:r>
        <w:rPr>
          <w:rFonts w:hint="eastAsia" w:ascii="仿宋_GB2312" w:hAnsi="仿宋_GB2312" w:eastAsia="仿宋_GB2312"/>
          <w:spacing w:val="-3"/>
          <w:sz w:val="32"/>
          <w:szCs w:val="32"/>
          <w:highlight w:val="none"/>
          <w:lang w:eastAsia="zh-CN"/>
        </w:rPr>
        <w:t>经营者：</w:t>
      </w:r>
      <w:r>
        <w:rPr>
          <w:rFonts w:hint="eastAsia" w:ascii="Times New Roman" w:hAnsi="Times New Roman" w:eastAsia="仿宋_GB2312" w:cs="仿宋_GB2312"/>
          <w:b w:val="0"/>
          <w:bCs/>
          <w:sz w:val="32"/>
          <w:szCs w:val="32"/>
          <w:highlight w:val="none"/>
        </w:rPr>
        <w:t>肖国富</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仿宋_GB2312"/>
          <w:b w:val="0"/>
          <w:bCs/>
          <w:sz w:val="32"/>
          <w:szCs w:val="32"/>
          <w:highlight w:val="none"/>
          <w:lang w:val="en-US" w:eastAsia="zh-CN"/>
        </w:rPr>
      </w:pPr>
      <w:r>
        <w:rPr>
          <w:rFonts w:hint="eastAsia" w:ascii="仿宋_GB2312" w:hAnsi="仿宋_GB2312" w:eastAsia="仿宋_GB2312"/>
          <w:spacing w:val="-3"/>
          <w:sz w:val="32"/>
          <w:szCs w:val="32"/>
          <w:highlight w:val="none"/>
        </w:rPr>
        <w:t>公民身份号码：</w:t>
      </w:r>
      <w:r>
        <w:rPr>
          <w:rFonts w:hint="eastAsia" w:ascii="Times New Roman" w:hAnsi="Times New Roman" w:eastAsia="仿宋_GB2312" w:cs="仿宋_GB2312"/>
          <w:b w:val="0"/>
          <w:bCs/>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仿宋_GB2312"/>
          <w:b w:val="0"/>
          <w:bCs/>
          <w:sz w:val="32"/>
          <w:szCs w:val="32"/>
          <w:highlight w:val="none"/>
          <w:lang w:val="en-US" w:eastAsia="zh-CN"/>
        </w:rPr>
      </w:pPr>
      <w:r>
        <w:rPr>
          <w:rFonts w:hint="eastAsia" w:ascii="仿宋_GB2312" w:hAnsi="仿宋_GB2312" w:eastAsia="仿宋_GB2312"/>
          <w:spacing w:val="-3"/>
          <w:sz w:val="32"/>
          <w:szCs w:val="32"/>
          <w:highlight w:val="none"/>
        </w:rPr>
        <w:t>联系电话：</w:t>
      </w:r>
      <w:r>
        <w:rPr>
          <w:rFonts w:hint="eastAsia" w:ascii="Times New Roman" w:hAnsi="Times New Roman" w:eastAsia="仿宋_GB2312" w:cs="仿宋_GB2312"/>
          <w:b w:val="0"/>
          <w:bCs/>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仿宋_GB2312" w:hAnsi="仿宋_GB2312" w:eastAsia="仿宋_GB2312"/>
          <w:sz w:val="32"/>
          <w:szCs w:val="32"/>
          <w:highlight w:val="none"/>
          <w:lang w:val="en-US" w:eastAsia="zh-CN"/>
        </w:rPr>
      </w:pPr>
      <w:r>
        <w:rPr>
          <w:rFonts w:hint="eastAsia" w:ascii="仿宋_GB2312" w:hAnsi="仿宋_GB2312" w:eastAsia="仿宋_GB2312"/>
          <w:spacing w:val="-3"/>
          <w:sz w:val="32"/>
          <w:szCs w:val="32"/>
          <w:highlight w:val="none"/>
        </w:rPr>
        <w:t>联系地址：</w:t>
      </w:r>
      <w:r>
        <w:rPr>
          <w:rFonts w:hint="eastAsia" w:ascii="Times New Roman" w:hAnsi="Times New Roman" w:eastAsia="仿宋_GB2312" w:cs="仿宋_GB2312"/>
          <w:b w:val="0"/>
          <w:bCs/>
          <w:sz w:val="32"/>
          <w:szCs w:val="32"/>
          <w:highlight w:val="none"/>
          <w:lang w:val="en-US" w:eastAsia="zh-CN"/>
        </w:rPr>
        <w:t>***</w:t>
      </w:r>
      <w:bookmarkStart w:id="2" w:name="_GoBack"/>
      <w:bookmarkEnd w:id="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sz w:val="32"/>
          <w:szCs w:val="32"/>
          <w:highlight w:val="none"/>
        </w:rPr>
      </w:pPr>
      <w:r>
        <w:rPr>
          <w:rFonts w:hint="eastAsia" w:ascii="Times New Roman" w:hAnsi="Times New Roman" w:eastAsia="仿宋_GB2312" w:cs="仿宋_GB2312"/>
          <w:b w:val="0"/>
          <w:bCs/>
          <w:sz w:val="32"/>
          <w:szCs w:val="32"/>
          <w:highlight w:val="none"/>
        </w:rPr>
        <w:t>2024年7月5日，根据莆田市涵江区市场监督管理局现场移送线索，本局依法对位于莆田市涵江区农贸市场一期A1店面由肖国富经营的莆田市涵江区百有益肉联冷冻类农产品经销处进行检查，现场检查发现当事人销售的食品中有1包“如意三宝雪花牛肋排”（生产日期：2022年11月15日，保质期：12个月），5罐佛跳墙（生产日期：2022/10/12，保质期：12个月）。上述食品截至现场检查当日已超过保质期。当事人涉嫌违反了《中华人民共和国食品安全法》第三十四条第（十）项的规定。经局领导审批，本局于2024年6月17日立案调查。</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outlineLvl w:val="9"/>
        <w:rPr>
          <w:rFonts w:hint="eastAsia" w:ascii="仿宋_GB2312" w:hAnsi="仿宋_GB2312" w:eastAsia="仿宋_GB2312"/>
          <w:spacing w:val="-3"/>
          <w:sz w:val="32"/>
          <w:szCs w:val="32"/>
          <w:highlight w:val="none"/>
        </w:rPr>
      </w:pPr>
      <w:r>
        <w:rPr>
          <w:rFonts w:hint="eastAsia" w:ascii="仿宋_GB2312" w:hAnsi="仿宋_GB2312" w:eastAsia="仿宋_GB2312"/>
          <w:spacing w:val="-3"/>
          <w:sz w:val="32"/>
          <w:szCs w:val="32"/>
          <w:highlight w:val="none"/>
        </w:rPr>
        <w:t>经查明，2023年2月份，当事人从他人处购入1包“如意三宝”雪花牛肋排和5罐佛跳墙用于销售，无进货票据，未履行进货查验义务。“如意三宝”雪花牛肋排售价20元/包，佛跳墙售价3.5元/罐。上述食品于2024年7月5日本局现场检查时均已超过保质期，但均未售出。截至被查获，当事人销售超过保质期食品的违法经营额为37.5元。</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outlineLvl w:val="9"/>
        <w:rPr>
          <w:rFonts w:hint="eastAsia" w:ascii="仿宋_GB2312" w:hAnsi="仿宋_GB2312" w:eastAsia="仿宋_GB2312"/>
          <w:spacing w:val="-3"/>
          <w:sz w:val="32"/>
          <w:szCs w:val="32"/>
          <w:highlight w:val="none"/>
        </w:rPr>
      </w:pPr>
      <w:r>
        <w:rPr>
          <w:rFonts w:hint="eastAsia" w:ascii="仿宋_GB2312" w:hAnsi="仿宋_GB2312" w:eastAsia="仿宋_GB2312"/>
          <w:spacing w:val="-3"/>
          <w:sz w:val="32"/>
          <w:szCs w:val="32"/>
          <w:highlight w:val="none"/>
        </w:rPr>
        <w:t>上述事实，主要有以下证据证明：</w:t>
      </w:r>
      <w:r>
        <w:rPr>
          <w:rFonts w:hint="eastAsia" w:ascii="Times New Roman" w:hAnsi="Times New Roman" w:eastAsia="仿宋_GB2312" w:cs="Times New Roman"/>
          <w:sz w:val="32"/>
          <w:szCs w:val="32"/>
          <w:highlight w:val="none"/>
        </w:rPr>
        <w:t>涵江区市场监督管理局市场监管违法行为案件移送材料1份</w:t>
      </w:r>
      <w:r>
        <w:rPr>
          <w:rFonts w:hint="eastAsia" w:ascii="Times New Roman" w:hAnsi="Times New Roman" w:eastAsia="仿宋_GB2312" w:cs="Times New Roman"/>
          <w:sz w:val="32"/>
          <w:szCs w:val="32"/>
          <w:highlight w:val="none"/>
          <w:lang w:eastAsia="zh-CN"/>
        </w:rPr>
        <w:t>、</w:t>
      </w:r>
      <w:r>
        <w:rPr>
          <w:rFonts w:hint="eastAsia" w:ascii="仿宋_GB2312" w:hAnsi="仿宋_GB2312" w:eastAsia="仿宋_GB2312"/>
          <w:spacing w:val="-3"/>
          <w:sz w:val="32"/>
          <w:szCs w:val="32"/>
          <w:highlight w:val="none"/>
        </w:rPr>
        <w:t>现场笔录1份、询问笔录1份</w:t>
      </w:r>
      <w:r>
        <w:rPr>
          <w:rFonts w:hint="eastAsia" w:ascii="仿宋_GB2312" w:hAnsi="仿宋_GB2312" w:eastAsia="仿宋_GB2312"/>
          <w:spacing w:val="-3"/>
          <w:sz w:val="32"/>
          <w:szCs w:val="32"/>
          <w:highlight w:val="none"/>
          <w:lang w:eastAsia="zh-CN"/>
        </w:rPr>
        <w:t>，</w:t>
      </w:r>
      <w:r>
        <w:rPr>
          <w:rFonts w:hint="eastAsia" w:ascii="仿宋_GB2312" w:hAnsi="仿宋_GB2312" w:eastAsia="仿宋_GB2312"/>
          <w:spacing w:val="-3"/>
          <w:sz w:val="32"/>
          <w:szCs w:val="32"/>
          <w:highlight w:val="none"/>
        </w:rPr>
        <w:t>当事人的营业执照、食品药品生产经营、经营者居民身份证复印件各1份</w:t>
      </w:r>
      <w:r>
        <w:rPr>
          <w:rFonts w:hint="eastAsia" w:ascii="仿宋_GB2312" w:eastAsia="仿宋_GB2312"/>
          <w:sz w:val="32"/>
          <w:szCs w:val="32"/>
          <w:highlight w:val="none"/>
          <w:lang w:eastAsia="zh-CN"/>
        </w:rPr>
        <w:t>等</w:t>
      </w:r>
      <w:r>
        <w:rPr>
          <w:rFonts w:hint="eastAsia" w:ascii="仿宋_GB2312" w:hAnsi="仿宋_GB2312" w:eastAsia="仿宋_GB2312"/>
          <w:spacing w:val="-3"/>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outlineLvl w:val="9"/>
        <w:rPr>
          <w:rFonts w:hint="eastAsia" w:ascii="仿宋_GB2312" w:hAnsi="仿宋_GB2312" w:eastAsia="仿宋_GB2312"/>
          <w:spacing w:val="-3"/>
          <w:sz w:val="32"/>
          <w:szCs w:val="32"/>
          <w:highlight w:val="none"/>
        </w:rPr>
      </w:pPr>
      <w:r>
        <w:rPr>
          <w:rFonts w:hint="eastAsia" w:ascii="仿宋_GB2312" w:hAnsi="仿宋_GB2312" w:eastAsia="仿宋_GB2312"/>
          <w:spacing w:val="-3"/>
          <w:sz w:val="32"/>
          <w:szCs w:val="32"/>
          <w:highlight w:val="none"/>
        </w:rPr>
        <w:t>本局于202</w:t>
      </w:r>
      <w:r>
        <w:rPr>
          <w:rFonts w:hint="eastAsia" w:ascii="仿宋_GB2312" w:hAnsi="仿宋_GB2312" w:eastAsia="仿宋_GB2312"/>
          <w:spacing w:val="-3"/>
          <w:sz w:val="32"/>
          <w:szCs w:val="32"/>
          <w:highlight w:val="none"/>
          <w:lang w:val="en-US" w:eastAsia="zh-CN"/>
        </w:rPr>
        <w:t>4</w:t>
      </w:r>
      <w:r>
        <w:rPr>
          <w:rFonts w:hint="eastAsia" w:ascii="仿宋_GB2312" w:hAnsi="仿宋_GB2312" w:eastAsia="仿宋_GB2312"/>
          <w:spacing w:val="-3"/>
          <w:sz w:val="32"/>
          <w:szCs w:val="32"/>
          <w:highlight w:val="none"/>
        </w:rPr>
        <w:t>年</w:t>
      </w:r>
      <w:r>
        <w:rPr>
          <w:rFonts w:hint="eastAsia" w:ascii="仿宋_GB2312" w:hAnsi="仿宋_GB2312" w:eastAsia="仿宋_GB2312"/>
          <w:spacing w:val="-3"/>
          <w:sz w:val="32"/>
          <w:szCs w:val="32"/>
          <w:highlight w:val="none"/>
          <w:lang w:val="en-US" w:eastAsia="zh-CN"/>
        </w:rPr>
        <w:t>12</w:t>
      </w:r>
      <w:r>
        <w:rPr>
          <w:rFonts w:hint="eastAsia" w:ascii="仿宋_GB2312" w:hAnsi="仿宋_GB2312" w:eastAsia="仿宋_GB2312"/>
          <w:spacing w:val="-3"/>
          <w:sz w:val="32"/>
          <w:szCs w:val="32"/>
          <w:highlight w:val="none"/>
        </w:rPr>
        <w:t>月</w:t>
      </w:r>
      <w:r>
        <w:rPr>
          <w:rFonts w:hint="eastAsia" w:ascii="仿宋_GB2312" w:hAnsi="仿宋_GB2312" w:eastAsia="仿宋_GB2312"/>
          <w:spacing w:val="-3"/>
          <w:sz w:val="32"/>
          <w:szCs w:val="32"/>
          <w:highlight w:val="none"/>
          <w:lang w:val="en-US" w:eastAsia="zh-CN"/>
        </w:rPr>
        <w:t>26</w:t>
      </w:r>
      <w:r>
        <w:rPr>
          <w:rFonts w:hint="eastAsia" w:ascii="仿宋_GB2312" w:hAnsi="仿宋_GB2312" w:eastAsia="仿宋_GB2312"/>
          <w:spacing w:val="-3"/>
          <w:sz w:val="32"/>
          <w:szCs w:val="32"/>
          <w:highlight w:val="none"/>
        </w:rPr>
        <w:t>日向当事人依法送达了《莆田市市场监督管理局行政处罚告知书》（莆市监</w:t>
      </w:r>
      <w:r>
        <w:rPr>
          <w:rFonts w:hint="eastAsia" w:ascii="仿宋_GB2312" w:hAnsi="仿宋_GB2312" w:eastAsia="仿宋_GB2312"/>
          <w:spacing w:val="-3"/>
          <w:sz w:val="32"/>
          <w:szCs w:val="32"/>
          <w:highlight w:val="none"/>
          <w:lang w:eastAsia="zh-CN"/>
        </w:rPr>
        <w:t>罚</w:t>
      </w:r>
      <w:r>
        <w:rPr>
          <w:rFonts w:hint="eastAsia" w:ascii="仿宋_GB2312" w:hAnsi="仿宋_GB2312" w:eastAsia="仿宋_GB2312"/>
          <w:spacing w:val="-3"/>
          <w:sz w:val="32"/>
          <w:szCs w:val="32"/>
          <w:highlight w:val="none"/>
        </w:rPr>
        <w:t>告〔2024〕07100003号），告知当事人拟作出行政处罚的事实、理由、依据、处罚内容及其依法享有陈述、申辩和要求听证的权利，当事人未在法定期限内提出陈述、申辩，也未提出举行听证的要求。</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outlineLvl w:val="9"/>
        <w:rPr>
          <w:rFonts w:hint="eastAsia" w:ascii="仿宋_GB2312" w:eastAsia="仿宋_GB2312" w:cs="仿宋_GB2312"/>
          <w:bCs/>
          <w:sz w:val="32"/>
          <w:szCs w:val="32"/>
          <w:highlight w:val="none"/>
        </w:rPr>
      </w:pPr>
      <w:r>
        <w:rPr>
          <w:rFonts w:hint="eastAsia" w:ascii="仿宋_GB2312" w:hAnsi="仿宋_GB2312" w:eastAsia="仿宋_GB2312"/>
          <w:spacing w:val="-3"/>
          <w:sz w:val="32"/>
          <w:szCs w:val="32"/>
          <w:highlight w:val="none"/>
        </w:rPr>
        <w:t>本局认为，</w:t>
      </w:r>
      <w:r>
        <w:rPr>
          <w:rFonts w:hint="eastAsia" w:ascii="仿宋_GB2312" w:eastAsia="仿宋_GB2312" w:cs="仿宋_GB2312"/>
          <w:bCs/>
          <w:sz w:val="32"/>
          <w:szCs w:val="32"/>
          <w:highlight w:val="none"/>
        </w:rPr>
        <w:t>当事人采购食品未查验供货者的许可证件和相关资质证明材料，其行为违法了《中华人民共和国食品安全法》第五十三条第一款的规定，属未履行进货查验义务的违法行为。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cs="仿宋_GB2312"/>
          <w:bCs/>
          <w:sz w:val="32"/>
          <w:szCs w:val="32"/>
          <w:highlight w:val="none"/>
        </w:rPr>
      </w:pPr>
      <w:r>
        <w:rPr>
          <w:rFonts w:hint="eastAsia" w:ascii="仿宋_GB2312" w:eastAsia="仿宋_GB2312" w:cs="仿宋_GB2312"/>
          <w:bCs/>
          <w:sz w:val="32"/>
          <w:szCs w:val="32"/>
          <w:highlight w:val="none"/>
        </w:rPr>
        <w:t>当事人经营过期食品的行为违反了《中华人民共和国食品安全法》第三十四条第(十)项的规定，属经营超过保质期食品的行为。</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outlineLvl w:val="9"/>
        <w:rPr>
          <w:rFonts w:hint="eastAsia" w:ascii="仿宋_GB2312" w:hAnsi="仿宋_GB2312" w:eastAsia="仿宋_GB2312"/>
          <w:spacing w:val="-3"/>
          <w:sz w:val="32"/>
          <w:szCs w:val="32"/>
          <w:highlight w:val="none"/>
        </w:rPr>
      </w:pPr>
      <w:r>
        <w:rPr>
          <w:rFonts w:hint="eastAsia" w:ascii="仿宋_GB2312" w:hAnsi="仿宋_GB2312" w:eastAsia="仿宋_GB2312"/>
          <w:spacing w:val="-3"/>
          <w:sz w:val="32"/>
          <w:szCs w:val="32"/>
          <w:highlight w:val="none"/>
        </w:rPr>
        <w:t>鉴于当事人为个体工商户，在农贸市场摊位上销售食用农产品。初次被发现实施违法行为，违法货值金额</w:t>
      </w:r>
      <w:r>
        <w:rPr>
          <w:rFonts w:hint="eastAsia" w:ascii="仿宋_GB2312" w:hAnsi="仿宋_GB2312" w:eastAsia="仿宋_GB2312"/>
          <w:spacing w:val="-3"/>
          <w:sz w:val="32"/>
          <w:szCs w:val="32"/>
          <w:highlight w:val="none"/>
          <w:lang w:val="en-US" w:eastAsia="zh-CN"/>
        </w:rPr>
        <w:t>37.5</w:t>
      </w:r>
      <w:r>
        <w:rPr>
          <w:rFonts w:hint="eastAsia" w:ascii="仿宋_GB2312" w:hAnsi="仿宋_GB2312" w:eastAsia="仿宋_GB2312"/>
          <w:spacing w:val="-3"/>
          <w:sz w:val="32"/>
          <w:szCs w:val="32"/>
          <w:highlight w:val="none"/>
        </w:rPr>
        <w:t>元，未造成食品安全事故等危害后果</w:t>
      </w:r>
      <w:r>
        <w:rPr>
          <w:rFonts w:hint="eastAsia" w:ascii="仿宋_GB2312" w:hAnsi="仿宋_GB2312" w:eastAsia="仿宋_GB2312"/>
          <w:spacing w:val="-3"/>
          <w:sz w:val="32"/>
          <w:szCs w:val="32"/>
          <w:highlight w:val="none"/>
          <w:lang w:eastAsia="zh-CN"/>
        </w:rPr>
        <w:t>，并</w:t>
      </w:r>
      <w:r>
        <w:rPr>
          <w:rFonts w:hint="eastAsia" w:ascii="仿宋_GB2312" w:hAnsi="仿宋_GB2312" w:eastAsia="仿宋_GB2312"/>
          <w:spacing w:val="-3"/>
          <w:sz w:val="32"/>
          <w:szCs w:val="32"/>
          <w:highlight w:val="none"/>
        </w:rPr>
        <w:t>能积极配合调查，如实陈述违法事实并主动提供证据材料</w:t>
      </w:r>
      <w:r>
        <w:rPr>
          <w:rFonts w:hint="eastAsia" w:ascii="仿宋_GB2312" w:hAnsi="仿宋_GB2312" w:eastAsia="仿宋_GB2312"/>
          <w:spacing w:val="-3"/>
          <w:sz w:val="32"/>
          <w:szCs w:val="32"/>
          <w:highlight w:val="none"/>
          <w:lang w:eastAsia="zh-CN"/>
        </w:rPr>
        <w:t>，</w:t>
      </w:r>
      <w:r>
        <w:rPr>
          <w:rFonts w:hint="eastAsia" w:ascii="仿宋_GB2312" w:hAnsi="仿宋_GB2312" w:eastAsia="仿宋_GB2312"/>
          <w:spacing w:val="-3"/>
          <w:sz w:val="32"/>
          <w:szCs w:val="32"/>
          <w:highlight w:val="none"/>
        </w:rPr>
        <w:t>本局决定予以</w:t>
      </w:r>
      <w:r>
        <w:rPr>
          <w:rFonts w:hint="eastAsia" w:ascii="仿宋_GB2312" w:hAnsi="仿宋_GB2312" w:eastAsia="仿宋_GB2312"/>
          <w:spacing w:val="-3"/>
          <w:sz w:val="32"/>
          <w:szCs w:val="32"/>
          <w:highlight w:val="none"/>
          <w:lang w:eastAsia="zh-CN"/>
        </w:rPr>
        <w:t>减轻</w:t>
      </w:r>
      <w:r>
        <w:rPr>
          <w:rFonts w:hint="eastAsia" w:ascii="仿宋_GB2312" w:hAnsi="仿宋_GB2312" w:eastAsia="仿宋_GB2312"/>
          <w:spacing w:val="-3"/>
          <w:sz w:val="32"/>
          <w:szCs w:val="32"/>
          <w:highlight w:val="none"/>
        </w:rPr>
        <w:t>处罚。</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outlineLvl w:val="9"/>
        <w:rPr>
          <w:rFonts w:hint="eastAsia" w:ascii="仿宋_GB2312" w:hAnsi="仿宋_GB2312" w:eastAsia="仿宋_GB2312"/>
          <w:spacing w:val="-3"/>
          <w:sz w:val="32"/>
          <w:szCs w:val="32"/>
          <w:highlight w:val="none"/>
        </w:rPr>
      </w:pPr>
      <w:r>
        <w:rPr>
          <w:rFonts w:hint="eastAsia" w:ascii="仿宋_GB2312" w:hAnsi="仿宋_GB2312" w:eastAsia="仿宋_GB2312"/>
          <w:spacing w:val="-3"/>
          <w:sz w:val="32"/>
          <w:szCs w:val="32"/>
          <w:highlight w:val="none"/>
        </w:rPr>
        <w:t>依据</w:t>
      </w:r>
      <w:r>
        <w:rPr>
          <w:rFonts w:hint="eastAsia" w:ascii="仿宋_GB2312" w:hAnsi="仿宋_GB2312" w:eastAsia="仿宋_GB2312"/>
          <w:sz w:val="32"/>
          <w:szCs w:val="32"/>
          <w:highlight w:val="none"/>
        </w:rPr>
        <w:t>《中华人民共和国行政处罚法》第二十八条、三十二条，《中华人民共和国食品安全法》第一百二十四条第一款第（五）项、第一百二十六条第一款第（三）项的规定，</w:t>
      </w:r>
      <w:r>
        <w:rPr>
          <w:rFonts w:hint="eastAsia" w:ascii="仿宋_GB2312" w:hAnsi="仿宋_GB2312" w:eastAsia="仿宋_GB2312"/>
          <w:spacing w:val="-3"/>
          <w:sz w:val="32"/>
          <w:szCs w:val="32"/>
          <w:highlight w:val="none"/>
        </w:rPr>
        <w:t>本局决定对当事人作如下行政处罚：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宋体" w:eastAsia="仿宋_GB2312"/>
          <w:sz w:val="32"/>
          <w:szCs w:val="32"/>
          <w:highlight w:val="none"/>
        </w:rPr>
      </w:pPr>
      <w:r>
        <w:rPr>
          <w:rFonts w:hint="eastAsia" w:ascii="仿宋_GB2312" w:hAnsi="宋体" w:eastAsia="仿宋_GB2312"/>
          <w:sz w:val="32"/>
          <w:szCs w:val="32"/>
          <w:highlight w:val="none"/>
        </w:rPr>
        <w:t>1.责令当事人立即改正未履行进货查验义务的行为，并并给予警告（拒不改正的，处五千元以上五万元以下罚款；情节严重的，责令停产停业，直至吊销许可证）。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sz w:val="32"/>
          <w:szCs w:val="32"/>
          <w:highlight w:val="none"/>
        </w:rPr>
      </w:pPr>
      <w:r>
        <w:rPr>
          <w:rFonts w:hint="eastAsia" w:ascii="仿宋_GB2312" w:hAnsi="宋体" w:eastAsia="仿宋_GB2312"/>
          <w:sz w:val="32"/>
          <w:szCs w:val="32"/>
          <w:highlight w:val="none"/>
        </w:rPr>
        <w:t>2.责令当事人立即改正销售过期食品的行为，没收涉案过期的1包“如意三宝雪花牛肋排”、5罐佛跳墙，并处罚款人民币13015元，上缴国库。</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outlineLvl w:val="9"/>
        <w:rPr>
          <w:rFonts w:hint="eastAsia" w:ascii="仿宋_GB2312" w:hAnsi="仿宋_GB2312" w:eastAsia="仿宋_GB2312"/>
          <w:spacing w:val="-3"/>
          <w:sz w:val="32"/>
          <w:szCs w:val="32"/>
          <w:highlight w:val="none"/>
        </w:rPr>
      </w:pPr>
      <w:r>
        <w:rPr>
          <w:rFonts w:hint="eastAsia" w:ascii="仿宋_GB2312" w:hAnsi="仿宋_GB2312" w:eastAsia="仿宋_GB2312"/>
          <w:spacing w:val="-3"/>
          <w:sz w:val="32"/>
          <w:szCs w:val="32"/>
          <w:highlight w:val="none"/>
        </w:rPr>
        <w:t>当事人应当自收到本处罚决定书之日起十五日内，持本决定书到中国工商银行股份有限公司莆田城厢支行（户名：待报解行政罚款收入，帐号：1405 0101 1120 0530 062）如数缴纳罚款。</w:t>
      </w:r>
      <w:r>
        <w:rPr>
          <w:rFonts w:hint="eastAsia" w:ascii="仿宋_GB2312" w:hAnsi="仿宋_GB2312" w:eastAsia="仿宋_GB2312"/>
          <w:spacing w:val="-3"/>
          <w:sz w:val="32"/>
          <w:szCs w:val="32"/>
          <w:highlight w:val="none"/>
          <w:lang w:eastAsia="zh-CN"/>
        </w:rPr>
        <w:t>到</w:t>
      </w:r>
      <w:r>
        <w:rPr>
          <w:rFonts w:hint="eastAsia" w:ascii="仿宋_GB2312" w:hAnsi="仿宋_GB2312" w:eastAsia="仿宋_GB2312"/>
          <w:spacing w:val="-3"/>
          <w:sz w:val="32"/>
          <w:szCs w:val="32"/>
          <w:highlight w:val="none"/>
        </w:rPr>
        <w:t>期不缴纳罚款的，依据《中华人民共和国行政处罚法》第</w:t>
      </w:r>
      <w:r>
        <w:rPr>
          <w:rFonts w:hint="eastAsia" w:ascii="仿宋_GB2312" w:hAnsi="仿宋_GB2312" w:eastAsia="仿宋_GB2312"/>
          <w:spacing w:val="-3"/>
          <w:sz w:val="32"/>
          <w:szCs w:val="32"/>
          <w:highlight w:val="none"/>
          <w:lang w:eastAsia="zh-CN"/>
        </w:rPr>
        <w:t>七十二</w:t>
      </w:r>
      <w:r>
        <w:rPr>
          <w:rFonts w:hint="eastAsia" w:ascii="仿宋_GB2312" w:hAnsi="仿宋_GB2312" w:eastAsia="仿宋_GB2312"/>
          <w:spacing w:val="-3"/>
          <w:sz w:val="32"/>
          <w:szCs w:val="32"/>
          <w:highlight w:val="none"/>
        </w:rPr>
        <w:t>条的规定，每日按罚款数额的百分之三加处罚款，并依法申请人民法院强制执行。</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outlineLvl w:val="9"/>
        <w:rPr>
          <w:rFonts w:hint="eastAsia" w:ascii="仿宋_GB2312" w:hAnsi="仿宋_GB2312" w:eastAsia="仿宋_GB2312"/>
          <w:spacing w:val="-3"/>
          <w:sz w:val="32"/>
          <w:szCs w:val="32"/>
          <w:highlight w:val="none"/>
        </w:rPr>
      </w:pPr>
      <w:r>
        <w:rPr>
          <w:rFonts w:hint="eastAsia" w:ascii="仿宋_GB2312" w:hAnsi="仿宋_GB2312" w:eastAsia="仿宋_GB2312"/>
          <w:spacing w:val="-3"/>
          <w:sz w:val="32"/>
          <w:szCs w:val="32"/>
          <w:highlight w:val="none"/>
        </w:rPr>
        <w:t>如对本决定不服，可以在收到本决定书之日起六十日内，向莆田市人民政府申请行政复议；也可以在六个月内直接向莆田市荔城区人民法院提起行政诉讼。但在复议、诉讼期间，行政处罚不停止执行。</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8" w:firstLineChars="200"/>
        <w:textAlignment w:val="baseline"/>
        <w:rPr>
          <w:rFonts w:hint="eastAsia" w:ascii="仿宋" w:hAnsi="仿宋" w:eastAsia="仿宋" w:cs="仿宋"/>
          <w:spacing w:val="0"/>
          <w:w w:val="100"/>
          <w:sz w:val="32"/>
          <w:szCs w:val="32"/>
          <w:u w:val="single"/>
          <w:lang w:val="en-US" w:eastAsia="zh-CN"/>
        </w:rPr>
      </w:pPr>
      <w:r>
        <w:rPr>
          <w:rFonts w:hint="eastAsia" w:ascii="仿宋_GB2312" w:hAnsi="仿宋_GB2312" w:eastAsia="仿宋_GB2312"/>
          <w:spacing w:val="-3"/>
          <w:sz w:val="32"/>
          <w:szCs w:val="32"/>
          <w:highlight w:val="none"/>
        </w:rPr>
        <w:t>到期不申请行政复议或者不向人民法院起诉，又不履行处罚决定的，本机关将申请人民法院强制执行。</w:t>
      </w:r>
    </w:p>
    <w:p>
      <w:pPr>
        <w:keepNext w:val="0"/>
        <w:keepLines w:val="0"/>
        <w:pageBreakBefore w:val="0"/>
        <w:kinsoku/>
        <w:overflowPunct/>
        <w:topLinePunct w:val="0"/>
        <w:autoSpaceDE/>
        <w:autoSpaceDN/>
        <w:bidi w:val="0"/>
        <w:adjustRightInd/>
        <w:spacing w:line="580" w:lineRule="exact"/>
        <w:ind w:firstLine="628" w:firstLineChars="200"/>
        <w:textAlignment w:val="auto"/>
        <w:outlineLvl w:val="9"/>
        <w:rPr>
          <w:rFonts w:hint="eastAsia" w:ascii="仿宋_GB2312" w:hAnsi="仿宋_GB2312" w:eastAsia="仿宋_GB2312"/>
          <w:spacing w:val="-3"/>
          <w:sz w:val="32"/>
          <w:szCs w:val="32"/>
          <w:highlight w:val="none"/>
        </w:rPr>
      </w:pPr>
      <w:r>
        <w:rPr>
          <w:rFonts w:hint="eastAsia" w:ascii="仿宋_GB2312" w:hAnsi="仿宋_GB2312" w:eastAsia="仿宋_GB2312" w:cs="仿宋_GB2312"/>
          <w:spacing w:val="-3"/>
          <w:sz w:val="32"/>
          <w:szCs w:val="32"/>
          <w:highlight w:val="none"/>
          <w:lang w:eastAsia="zh-CN"/>
        </w:rPr>
        <w:drawing>
          <wp:anchor distT="0" distB="0" distL="114300" distR="114300" simplePos="0" relativeHeight="251659264" behindDoc="0" locked="0" layoutInCell="1" allowOverlap="1">
            <wp:simplePos x="0" y="0"/>
            <wp:positionH relativeFrom="column">
              <wp:posOffset>2981960</wp:posOffset>
            </wp:positionH>
            <wp:positionV relativeFrom="paragraph">
              <wp:posOffset>54610</wp:posOffset>
            </wp:positionV>
            <wp:extent cx="2124075" cy="3000375"/>
            <wp:effectExtent l="0" t="0" r="9525" b="9525"/>
            <wp:wrapSquare wrapText="bothSides"/>
            <wp:docPr id="5" name="图片 6" descr="9702658a80015925c07d31c1c0e38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9702658a80015925c07d31c1c0e389f"/>
                    <pic:cNvPicPr>
                      <a:picLocks noChangeAspect="1"/>
                    </pic:cNvPicPr>
                  </pic:nvPicPr>
                  <pic:blipFill>
                    <a:blip r:embed="rId6"/>
                    <a:stretch>
                      <a:fillRect/>
                    </a:stretch>
                  </pic:blipFill>
                  <pic:spPr>
                    <a:xfrm>
                      <a:off x="0" y="0"/>
                      <a:ext cx="2124075" cy="3000375"/>
                    </a:xfrm>
                    <a:prstGeom prst="rect">
                      <a:avLst/>
                    </a:prstGeom>
                    <a:noFill/>
                    <a:ln w="9525">
                      <a:noFill/>
                    </a:ln>
                  </pic:spPr>
                </pic:pic>
              </a:graphicData>
            </a:graphic>
          </wp:anchor>
        </w:drawing>
      </w:r>
      <w:r>
        <w:rPr>
          <w:rFonts w:hint="eastAsia" w:ascii="仿宋_GB2312" w:hAnsi="仿宋_GB2312" w:eastAsia="仿宋_GB2312"/>
          <w:spacing w:val="-3"/>
          <w:sz w:val="32"/>
          <w:szCs w:val="32"/>
          <w:highlight w:val="none"/>
        </w:rPr>
        <w:t>附：“云缴费”二维码</w:t>
      </w:r>
    </w:p>
    <w:p>
      <w:pPr>
        <w:keepNext w:val="0"/>
        <w:keepLines w:val="0"/>
        <w:pageBreakBefore w:val="0"/>
        <w:kinsoku/>
        <w:overflowPunct/>
        <w:topLinePunct w:val="0"/>
        <w:autoSpaceDE/>
        <w:autoSpaceDN/>
        <w:bidi w:val="0"/>
        <w:adjustRightInd/>
        <w:spacing w:line="580" w:lineRule="exact"/>
        <w:ind w:firstLine="640" w:firstLineChars="200"/>
        <w:textAlignment w:val="auto"/>
        <w:outlineLvl w:val="9"/>
        <w:rPr>
          <w:rFonts w:hint="eastAsia" w:ascii="仿宋_GB2312" w:eastAsia="仿宋_GB2312"/>
          <w:sz w:val="32"/>
          <w:szCs w:val="32"/>
          <w:highlight w:val="none"/>
        </w:rPr>
      </w:pPr>
    </w:p>
    <w:p>
      <w:pPr>
        <w:keepNext w:val="0"/>
        <w:keepLines w:val="0"/>
        <w:pageBreakBefore w:val="0"/>
        <w:kinsoku/>
        <w:overflowPunct/>
        <w:topLinePunct w:val="0"/>
        <w:autoSpaceDE/>
        <w:autoSpaceDN/>
        <w:bidi w:val="0"/>
        <w:adjustRightInd/>
        <w:spacing w:line="580" w:lineRule="exact"/>
        <w:ind w:firstLine="640" w:firstLineChars="200"/>
        <w:textAlignment w:val="auto"/>
        <w:outlineLvl w:val="9"/>
        <w:rPr>
          <w:rFonts w:hint="eastAsia" w:ascii="仿宋_GB2312" w:eastAsia="仿宋_GB2312"/>
          <w:sz w:val="32"/>
          <w:szCs w:val="32"/>
          <w:highlight w:val="none"/>
        </w:rPr>
      </w:pPr>
    </w:p>
    <w:p>
      <w:pPr>
        <w:keepNext w:val="0"/>
        <w:keepLines w:val="0"/>
        <w:pageBreakBefore w:val="0"/>
        <w:kinsoku/>
        <w:overflowPunct/>
        <w:topLinePunct w:val="0"/>
        <w:autoSpaceDE/>
        <w:autoSpaceDN/>
        <w:bidi w:val="0"/>
        <w:adjustRightInd/>
        <w:spacing w:line="580" w:lineRule="exact"/>
        <w:ind w:firstLine="640" w:firstLineChars="200"/>
        <w:textAlignment w:val="auto"/>
        <w:outlineLvl w:val="9"/>
        <w:rPr>
          <w:rFonts w:hint="eastAsia" w:ascii="仿宋_GB2312" w:eastAsia="仿宋_GB2312"/>
          <w:sz w:val="32"/>
          <w:szCs w:val="32"/>
          <w:highlight w:val="none"/>
        </w:rPr>
      </w:pPr>
    </w:p>
    <w:p>
      <w:pPr>
        <w:keepNext w:val="0"/>
        <w:keepLines w:val="0"/>
        <w:pageBreakBefore w:val="0"/>
        <w:kinsoku/>
        <w:overflowPunct/>
        <w:topLinePunct w:val="0"/>
        <w:autoSpaceDE/>
        <w:autoSpaceDN/>
        <w:bidi w:val="0"/>
        <w:adjustRightInd/>
        <w:spacing w:line="580" w:lineRule="exact"/>
        <w:ind w:firstLine="640" w:firstLineChars="200"/>
        <w:textAlignment w:val="auto"/>
        <w:outlineLvl w:val="9"/>
        <w:rPr>
          <w:rFonts w:hint="eastAsia"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textAlignment w:val="baseline"/>
        <w:rPr>
          <w:rFonts w:ascii="楷体" w:hAnsi="楷体" w:eastAsia="楷体" w:cs="楷体"/>
          <w:color w:val="231F20"/>
          <w:spacing w:val="0"/>
          <w:w w:val="100"/>
          <w:sz w:val="31"/>
          <w:szCs w:val="31"/>
          <w14:textOutline w14:w="5626" w14:cap="sq" w14:cmpd="sng" w14:algn="ctr">
            <w14:solidFill>
              <w14:srgbClr w14:val="231F20"/>
            </w14:solidFill>
            <w14:prstDash w14:val="solid"/>
            <w14:bevel/>
          </w14:textOutline>
        </w:rPr>
      </w:pPr>
    </w:p>
    <w:p>
      <w:pPr>
        <w:spacing w:line="279" w:lineRule="auto"/>
        <w:rPr>
          <w:rFonts w:ascii="Microsoft JhengHei"/>
          <w:spacing w:val="0"/>
          <w:w w:val="100"/>
        </w:rPr>
      </w:pPr>
    </w:p>
    <w:p>
      <w:pPr>
        <w:spacing w:line="279" w:lineRule="auto"/>
        <w:rPr>
          <w:rFonts w:hint="default" w:ascii="Microsoft JhengHei" w:eastAsia="宋体"/>
          <w:spacing w:val="0"/>
          <w:w w:val="100"/>
          <w:lang w:val="en-US" w:eastAsia="zh-CN"/>
        </w:rPr>
      </w:pPr>
    </w:p>
    <w:p>
      <w:pPr>
        <w:spacing w:line="279" w:lineRule="auto"/>
        <w:rPr>
          <w:rFonts w:ascii="Microsoft JhengHei"/>
          <w:spacing w:val="0"/>
          <w:w w:val="100"/>
        </w:rPr>
      </w:pPr>
    </w:p>
    <w:p>
      <w:pPr>
        <w:spacing w:line="279" w:lineRule="auto"/>
        <w:rPr>
          <w:rFonts w:ascii="Microsoft JhengHei"/>
          <w:spacing w:val="0"/>
          <w:w w:val="100"/>
        </w:rPr>
      </w:pPr>
    </w:p>
    <w:p>
      <w:pPr>
        <w:spacing w:line="279" w:lineRule="auto"/>
        <w:rPr>
          <w:rFonts w:hint="default" w:ascii="Microsoft JhengHei" w:eastAsia="宋体"/>
          <w:color w:val="FF0000"/>
          <w:spacing w:val="0"/>
          <w:w w:val="100"/>
          <w:lang w:val="en-US" w:eastAsia="zh-CN"/>
        </w:rPr>
      </w:pPr>
      <w:bookmarkStart w:id="0" w:name="thts1"/>
      <w:r>
        <w:rPr>
          <w:rFonts w:ascii="仿宋" w:hAnsi="仿宋" w:cs="仿宋" w:eastAsia="仿宋"/>
          <w:sz w:val="32"/>
        </w:rPr>
        <w:t xml:space="preserve"> </w:t>
      </w:r>
      <w:bookmarkEnd w:id="0"/>
    </w:p>
    <w:p>
      <w:pPr>
        <w:keepNext w:val="0"/>
        <w:keepLines w:val="0"/>
        <w:pageBreakBefore w:val="0"/>
        <w:widowControl/>
        <w:tabs>
          <w:tab w:val="left" w:pos="5667"/>
        </w:tabs>
        <w:kinsoku w:val="0"/>
        <w:wordWrap w:val="0"/>
        <w:overflowPunct/>
        <w:topLinePunct w:val="0"/>
        <w:autoSpaceDE w:val="0"/>
        <w:autoSpaceDN w:val="0"/>
        <w:bidi/>
        <w:adjustRightInd w:val="0"/>
        <w:snapToGrid w:val="0"/>
        <w:spacing w:line="560" w:lineRule="exact"/>
        <w:ind w:left="0" w:leftChars="0" w:right="840" w:rightChars="400" w:firstLine="0" w:firstLineChars="0"/>
        <w:jc w:val="left"/>
        <w:textAlignment w:val="baseline"/>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莆田市市场监督管理局</w:t>
      </w:r>
      <w:r>
        <w:rPr>
          <w:rFonts w:ascii="仿宋" w:hAnsi="仿宋" w:eastAsia="仿宋" w:cs="仿宋"/>
          <w:sz w:val="32"/>
        </w:rPr>
        <w:t xml:space="preserve">   </w:t>
      </w:r>
    </w:p>
    <w:p>
      <w:pPr>
        <w:keepNext w:val="0"/>
        <w:keepLines w:val="0"/>
        <w:pageBreakBefore w:val="0"/>
        <w:widowControl/>
        <w:tabs>
          <w:tab w:val="left" w:pos="5667"/>
        </w:tabs>
        <w:kinsoku w:val="0"/>
        <w:wordWrap/>
        <w:overflowPunct/>
        <w:topLinePunct w:val="0"/>
        <w:autoSpaceDE w:val="0"/>
        <w:autoSpaceDN w:val="0"/>
        <w:bidi/>
        <w:adjustRightInd w:val="0"/>
        <w:snapToGrid w:val="0"/>
        <w:spacing w:line="40" w:lineRule="exact"/>
        <w:ind w:left="0" w:leftChars="0" w:right="0" w:firstLine="1650" w:firstLineChars="1500"/>
        <w:jc w:val="left"/>
        <w:textAlignment w:val="baseline"/>
        <w:rPr>
          <w:rFonts w:hint="default" w:ascii="仿宋" w:hAnsi="仿宋" w:eastAsia="仿宋" w:cs="仿宋"/>
          <w:spacing w:val="0"/>
          <w:w w:val="100"/>
          <w:sz w:val="32"/>
          <w:szCs w:val="32"/>
          <w:lang w:val="en-US" w:eastAsia="zh-CN"/>
        </w:rPr>
      </w:pPr>
      <w:r>
        <w:rPr>
          <w:rFonts w:ascii="仿宋" w:hAnsi="仿宋" w:eastAsia="仿宋" w:cs="仿宋"/>
          <w:color w:val="FFFFFF" w:themeColor="background1"/>
          <w:spacing w:val="0"/>
          <w:w w:val="100"/>
          <w:sz w:val="11"/>
          <w:szCs w:val="11"/>
          <w14:textFill>
            <w14:solidFill>
              <w14:schemeClr w14:val="bg1"/>
            </w14:solidFill>
          </w14:textFill>
        </w:rPr>
        <w:t>（</w:t>
      </w:r>
      <w:r>
        <w:rPr>
          <w:rFonts w:hint="eastAsia" w:ascii="仿宋" w:hAnsi="仿宋" w:eastAsia="仿宋" w:cs="仿宋"/>
          <w:color w:val="FFFFFF" w:themeColor="background1"/>
          <w:spacing w:val="0"/>
          <w:w w:val="100"/>
          <w:sz w:val="11"/>
          <w:szCs w:val="11"/>
          <w:lang w:eastAsia="zh-CN"/>
          <w14:textFill>
            <w14:solidFill>
              <w14:schemeClr w14:val="bg1"/>
            </w14:solidFill>
          </w14:textFill>
        </w:rPr>
        <w:t>sealdwy</w:t>
      </w:r>
      <w:r>
        <w:rPr>
          <w:rFonts w:ascii="仿宋" w:hAnsi="仿宋" w:eastAsia="仿宋" w:cs="仿宋"/>
          <w:color w:val="FFFFFF" w:themeColor="background1"/>
          <w:spacing w:val="0"/>
          <w:w w:val="100"/>
          <w:sz w:val="11"/>
          <w:szCs w:val="11"/>
          <w14:textFill>
            <w14:solidFill>
              <w14:schemeClr w14:val="bg1"/>
            </w14:solidFill>
          </w14:textFill>
        </w:rPr>
        <w:t>）</w:t>
      </w:r>
      <w:r>
        <w:rPr>
          <w:rFonts w:ascii="仿宋" w:hAnsi="仿宋" w:eastAsia="仿宋" w:cs="仿宋"/>
          <w:color w:val="000000" w:themeColor="text1"/>
          <w:spacing w:val="0"/>
          <w:w w:val="100"/>
          <w:sz w:val="21"/>
          <w:szCs w:val="21"/>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adjustRightInd w:val="0"/>
        <w:snapToGrid w:val="0"/>
        <w:spacing w:line="560" w:lineRule="exact"/>
        <w:ind w:right="840" w:rightChars="400" w:firstLine="0" w:firstLineChars="0"/>
        <w:jc w:val="left"/>
        <w:textAlignment w:val="baseline"/>
        <w:rPr>
          <w:rFonts w:hint="default"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2025年01月10日</w:t>
      </w:r>
      <w:r>
        <w:rPr>
          <w:rFonts w:ascii="仿宋" w:hAnsi="仿宋" w:eastAsia="仿宋" w:cs="仿宋"/>
          <w:sz w:val="32"/>
        </w:rPr>
        <w:t xml:space="preserve">       </w:t>
      </w:r>
    </w:p>
    <w:p>
      <w:pPr>
        <w:spacing w:line="279" w:lineRule="auto"/>
        <w:rPr>
          <w:rFonts w:hint="default" w:ascii="Microsoft JhengHei" w:eastAsia="宋体"/>
          <w:color w:val="FF0000"/>
          <w:spacing w:val="0"/>
          <w:w w:val="100"/>
          <w:lang w:val="en-US" w:eastAsia="zh-CN"/>
        </w:rPr>
      </w:pPr>
      <w:bookmarkStart w:id="1" w:name="thts2"/>
      <w:r>
        <w:rPr>
          <w:rFonts w:ascii="仿宋" w:hAnsi="仿宋" w:cs="仿宋" w:eastAsia="仿宋"/>
          <w:sz w:val="32"/>
        </w:rPr>
        <w:t xml:space="preserve"> </w:t>
      </w:r>
      <w:bookmarkEnd w:id="1"/>
    </w:p>
    <w:p>
      <w:pPr>
        <w:spacing w:line="256" w:lineRule="auto"/>
        <w:rPr>
          <w:rFonts w:ascii="Microsoft JhengHei"/>
          <w:spacing w:val="0"/>
          <w:w w:val="100"/>
        </w:rPr>
      </w:pPr>
    </w:p>
    <w:p>
      <w:pPr>
        <w:spacing w:before="105" w:line="183" w:lineRule="auto"/>
        <w:ind w:firstLine="403"/>
        <w:jc w:val="center"/>
        <w:rPr>
          <w:rFonts w:hint="default" w:ascii="黑体" w:hAnsi="黑体" w:eastAsia="黑体" w:cs="黑体"/>
          <w:color w:val="231F20"/>
          <w:spacing w:val="0"/>
          <w:w w:val="100"/>
          <w:sz w:val="32"/>
          <w:szCs w:val="32"/>
          <w:lang w:val="en-US" w:eastAsia="zh-CN"/>
        </w:rPr>
      </w:pPr>
    </w:p>
    <w:p>
      <w:pPr>
        <w:spacing w:before="105" w:line="183" w:lineRule="auto"/>
        <w:ind w:firstLine="403"/>
        <w:jc w:val="center"/>
        <w:rPr>
          <w:rFonts w:ascii="黑体" w:hAnsi="黑体" w:eastAsia="黑体" w:cs="黑体"/>
          <w:color w:val="231F20"/>
          <w:spacing w:val="0"/>
          <w:w w:val="100"/>
          <w:sz w:val="32"/>
          <w:szCs w:val="32"/>
        </w:rPr>
      </w:pPr>
    </w:p>
    <w:p>
      <w:pPr>
        <w:spacing w:before="105" w:line="183" w:lineRule="auto"/>
        <w:ind w:firstLine="403"/>
        <w:jc w:val="center"/>
        <w:rPr>
          <w:rFonts w:ascii="黑体" w:hAnsi="黑体" w:eastAsia="黑体" w:cs="黑体"/>
          <w:color w:val="231F20"/>
          <w:spacing w:val="0"/>
          <w:w w:val="100"/>
          <w:sz w:val="32"/>
          <w:szCs w:val="32"/>
        </w:rPr>
      </w:pPr>
    </w:p>
    <w:p>
      <w:pPr>
        <w:spacing w:before="105" w:line="183" w:lineRule="auto"/>
        <w:ind w:firstLine="403"/>
        <w:jc w:val="center"/>
        <w:rPr>
          <w:rFonts w:ascii="黑体" w:hAnsi="黑体" w:eastAsia="黑体" w:cs="黑体"/>
          <w:color w:val="231F20"/>
          <w:spacing w:val="0"/>
          <w:w w:val="100"/>
          <w:sz w:val="32"/>
          <w:szCs w:val="32"/>
        </w:rPr>
      </w:pPr>
    </w:p>
    <w:p>
      <w:pPr>
        <w:spacing w:before="105" w:line="183" w:lineRule="auto"/>
        <w:ind w:firstLine="403"/>
        <w:jc w:val="center"/>
        <w:rPr>
          <w:rFonts w:ascii="黑体" w:hAnsi="黑体" w:eastAsia="黑体" w:cs="黑体"/>
          <w:color w:val="231F20"/>
          <w:spacing w:val="0"/>
          <w:w w:val="100"/>
          <w:sz w:val="32"/>
          <w:szCs w:val="32"/>
        </w:rPr>
      </w:pPr>
    </w:p>
    <w:p>
      <w:pPr>
        <w:spacing w:before="105" w:line="183" w:lineRule="auto"/>
        <w:ind w:firstLine="403"/>
        <w:jc w:val="center"/>
        <w:rPr>
          <w:rFonts w:ascii="黑体" w:hAnsi="黑体" w:eastAsia="黑体" w:cs="黑体"/>
          <w:color w:val="231F20"/>
          <w:spacing w:val="0"/>
          <w:w w:val="100"/>
          <w:sz w:val="32"/>
          <w:szCs w:val="32"/>
        </w:rPr>
      </w:pPr>
    </w:p>
    <w:p>
      <w:pPr>
        <w:spacing w:before="105" w:line="183" w:lineRule="auto"/>
        <w:ind w:firstLine="403"/>
        <w:jc w:val="center"/>
        <w:rPr>
          <w:rFonts w:ascii="黑体" w:hAnsi="黑体" w:eastAsia="黑体" w:cs="黑体"/>
          <w:color w:val="231F20"/>
          <w:spacing w:val="0"/>
          <w:w w:val="100"/>
          <w:sz w:val="32"/>
          <w:szCs w:val="32"/>
        </w:rPr>
      </w:pPr>
    </w:p>
    <w:p>
      <w:pPr>
        <w:spacing w:before="105" w:line="183" w:lineRule="auto"/>
        <w:ind w:firstLine="403"/>
        <w:jc w:val="center"/>
        <w:rPr>
          <w:rFonts w:hint="eastAsia" w:ascii="仿宋" w:hAnsi="仿宋" w:eastAsia="仿宋" w:cs="仿宋"/>
          <w:b/>
          <w:bCs/>
          <w:spacing w:val="0"/>
          <w:w w:val="100"/>
          <w:sz w:val="28"/>
          <w:szCs w:val="28"/>
          <w:u w:val="none"/>
          <w:lang w:val="en-US" w:eastAsia="zh-CN"/>
        </w:rPr>
      </w:pPr>
      <w:r>
        <w:rPr>
          <w:rFonts w:hint="eastAsia" w:ascii="仿宋" w:hAnsi="仿宋" w:eastAsia="仿宋" w:cs="仿宋"/>
          <w:b/>
          <w:bCs/>
          <w:spacing w:val="0"/>
          <w:w w:val="100"/>
          <w:sz w:val="28"/>
          <w:szCs w:val="28"/>
          <w:u w:val="none"/>
          <w:lang w:val="en-US" w:eastAsia="zh-CN"/>
        </w:rPr>
        <w:t>（市场监督管理部门将依法向社会公开行政处罚决定信息）</w:t>
      </w:r>
    </w:p>
    <w:p>
      <w:pPr>
        <w:spacing w:line="261" w:lineRule="auto"/>
        <w:rPr>
          <w:rFonts w:ascii="Microsoft JhengHei"/>
          <w:spacing w:val="0"/>
          <w:w w:val="100"/>
        </w:rPr>
      </w:pPr>
    </w:p>
    <w:p>
      <w:pPr>
        <w:spacing w:line="261" w:lineRule="auto"/>
        <w:rPr>
          <w:rFonts w:ascii="Microsoft JhengHei"/>
          <w:spacing w:val="0"/>
          <w:w w:val="100"/>
        </w:rPr>
      </w:pPr>
    </w:p>
    <w:p>
      <w:pPr>
        <w:spacing w:line="26" w:lineRule="exact"/>
        <w:textAlignment w:val="center"/>
        <w:rPr>
          <w:spacing w:val="0"/>
          <w:w w:val="100"/>
        </w:rPr>
      </w:pPr>
      <w:r>
        <w:rPr>
          <w:spacing w:val="0"/>
          <w:w w:val="100"/>
        </w:rPr>
        <w:drawing>
          <wp:inline distT="0" distB="0" distL="0" distR="0">
            <wp:extent cx="5550535" cy="15875"/>
            <wp:effectExtent l="0" t="0" r="12065" b="6985"/>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7"/>
                    <a:stretch>
                      <a:fillRect/>
                    </a:stretch>
                  </pic:blipFill>
                  <pic:spPr>
                    <a:xfrm>
                      <a:off x="0" y="0"/>
                      <a:ext cx="5550535" cy="16509"/>
                    </a:xfrm>
                    <a:prstGeom prst="rect">
                      <a:avLst/>
                    </a:prstGeom>
                  </pic:spPr>
                </pic:pic>
              </a:graphicData>
            </a:graphic>
          </wp:inline>
        </w:drawing>
      </w:r>
    </w:p>
    <w:p>
      <w:pPr>
        <w:spacing w:before="106" w:line="183" w:lineRule="auto"/>
        <w:ind w:firstLine="231"/>
        <w:rPr>
          <w:rFonts w:hint="eastAsia" w:ascii="仿宋" w:hAnsi="仿宋" w:eastAsia="仿宋" w:cs="仿宋"/>
          <w:spacing w:val="0"/>
          <w:w w:val="100"/>
          <w:sz w:val="32"/>
          <w:szCs w:val="32"/>
          <w:u w:val="none"/>
          <w:lang w:eastAsia="zh-CN"/>
        </w:rPr>
      </w:pPr>
      <w:r>
        <w:rPr>
          <w:rFonts w:ascii="仿宋" w:hAnsi="仿宋" w:eastAsia="仿宋" w:cs="仿宋"/>
          <w:spacing w:val="0"/>
          <w:w w:val="100"/>
          <w:sz w:val="32"/>
          <w:szCs w:val="32"/>
        </w:rPr>
        <w:t>本文书一</w:t>
      </w:r>
      <w:r>
        <w:rPr>
          <w:rFonts w:ascii="仿宋" w:hAnsi="仿宋" w:eastAsia="仿宋" w:cs="仿宋"/>
          <w:spacing w:val="0"/>
          <w:w w:val="100"/>
          <w:sz w:val="32"/>
          <w:szCs w:val="32"/>
          <w:u w:val="none"/>
        </w:rPr>
        <w:t>式</w:t>
      </w:r>
      <w:r>
        <w:rPr>
          <w:rFonts w:hint="eastAsia" w:ascii="仿宋" w:hAnsi="仿宋" w:eastAsia="仿宋" w:cs="仿宋"/>
          <w:spacing w:val="0"/>
          <w:w w:val="100"/>
          <w:sz w:val="32"/>
          <w:szCs w:val="32"/>
          <w:u w:val="none"/>
          <w:lang w:val="en-US" w:eastAsia="zh-CN"/>
        </w:rPr>
        <w:t>二</w:t>
      </w:r>
      <w:r>
        <w:rPr>
          <w:rFonts w:ascii="仿宋" w:hAnsi="仿宋" w:eastAsia="仿宋" w:cs="仿宋"/>
          <w:spacing w:val="0"/>
          <w:w w:val="100"/>
          <w:sz w:val="32"/>
          <w:szCs w:val="32"/>
          <w:u w:val="none"/>
        </w:rPr>
        <w:t>份，</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份送达，</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份归档</w:t>
      </w:r>
      <w:r>
        <w:rPr>
          <w:rFonts w:hint="eastAsia" w:ascii="仿宋" w:hAnsi="仿宋" w:eastAsia="仿宋" w:cs="仿宋"/>
          <w:spacing w:val="0"/>
          <w:w w:val="100"/>
          <w:sz w:val="32"/>
          <w:szCs w:val="32"/>
          <w:u w:val="none"/>
          <w:lang w:eastAsia="zh-CN"/>
        </w:rPr>
        <w:t>。</w:t>
      </w:r>
    </w:p>
    <w:p>
      <w:pPr>
        <w:spacing w:before="106" w:line="183" w:lineRule="auto"/>
        <w:ind w:firstLine="231"/>
        <w:rPr>
          <w:rFonts w:hint="eastAsia" w:ascii="仿宋" w:hAnsi="仿宋" w:eastAsia="仿宋" w:cs="仿宋"/>
          <w:spacing w:val="0"/>
          <w:w w:val="100"/>
          <w:sz w:val="32"/>
          <w:szCs w:val="32"/>
          <w:u w:val="none"/>
          <w:lang w:eastAsia="zh-CN"/>
        </w:rPr>
      </w:pPr>
    </w:p>
    <w:p>
      <w:pPr>
        <w:spacing w:before="106" w:line="183" w:lineRule="auto"/>
        <w:ind w:firstLine="231"/>
        <w:rPr>
          <w:rFonts w:hint="eastAsia" w:ascii="仿宋" w:hAnsi="仿宋" w:eastAsia="仿宋" w:cs="仿宋"/>
          <w:spacing w:val="0"/>
          <w:w w:val="100"/>
          <w:sz w:val="32"/>
          <w:szCs w:val="32"/>
          <w:u w:val="none"/>
          <w:lang w:eastAsia="zh-CN"/>
        </w:rPr>
      </w:pPr>
    </w:p>
    <w:p>
      <w:pPr>
        <w:keepNext w:val="0"/>
        <w:keepLines w:val="0"/>
        <w:pageBreakBefore w:val="0"/>
        <w:kinsoku/>
        <w:overflowPunct/>
        <w:topLinePunct w:val="0"/>
        <w:autoSpaceDE/>
        <w:autoSpaceDN/>
        <w:bidi w:val="0"/>
        <w:spacing w:line="560" w:lineRule="exact"/>
        <w:outlineLvl w:val="9"/>
        <w:rPr>
          <w:rFonts w:hint="eastAsia" w:ascii="仿宋_GB2312" w:hAnsi="仿宋_GB2312" w:eastAsia="仿宋_GB2312"/>
          <w:spacing w:val="-3"/>
          <w:sz w:val="32"/>
          <w:szCs w:val="32"/>
          <w:highlight w:val="none"/>
        </w:rPr>
      </w:pPr>
      <w:r>
        <w:rPr>
          <w:rFonts w:hint="eastAsia" w:ascii="仿宋_GB2312" w:hAnsi="仿宋_GB2312" w:eastAsia="仿宋_GB2312"/>
          <w:spacing w:val="-3"/>
          <w:sz w:val="32"/>
          <w:szCs w:val="32"/>
          <w:highlight w:val="none"/>
        </w:rPr>
        <w:t>附页：本处罚决定书引用法条内容。</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baseline"/>
        <w:rPr>
          <w:rFonts w:hint="eastAsia" w:ascii="仿宋_GB2312" w:hAnsi="仿宋" w:eastAsia="仿宋_GB2312"/>
          <w:b/>
          <w:sz w:val="32"/>
          <w:szCs w:val="32"/>
          <w:highlight w:val="none"/>
        </w:rPr>
      </w:pPr>
      <w:r>
        <w:rPr>
          <w:rFonts w:hint="eastAsia" w:ascii="仿宋_GB2312" w:hAnsi="宋体" w:eastAsia="仿宋_GB2312" w:cs="Times New Roman"/>
          <w:b/>
          <w:sz w:val="32"/>
          <w:szCs w:val="32"/>
          <w:highlight w:val="none"/>
        </w:rPr>
        <w:t>《中华人民共和国行政处罚法》第二十八条：</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rPr>
        <w:t>行政机关实施行政处罚时，应当责令当事人改正或者限期改正违法行为。</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baseline"/>
        <w:rPr>
          <w:rFonts w:hint="eastAsia" w:ascii="仿宋_GB2312" w:hAnsi="仿宋" w:eastAsia="仿宋_GB2312"/>
          <w:b/>
          <w:sz w:val="32"/>
          <w:szCs w:val="32"/>
          <w:highlight w:val="none"/>
        </w:rPr>
      </w:pPr>
      <w:r>
        <w:rPr>
          <w:rFonts w:hint="eastAsia" w:ascii="仿宋_GB2312" w:hAnsi="仿宋" w:eastAsia="仿宋_GB2312"/>
          <w:b/>
          <w:sz w:val="32"/>
          <w:szCs w:val="32"/>
          <w:highlight w:val="none"/>
        </w:rPr>
        <w:t>《中华人民共和国行政处罚法》第三十二条：</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rPr>
        <w:t>当事人有下列情形之一，应当从轻或者减轻行政处罚：</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rPr>
        <w:t>（一）主动消除或者减轻违法行为危害后果的；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rPr>
        <w:t>（二）受他人胁迫或者诱骗实施违法行为的；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rPr>
        <w:t>（三）主动供述行政机关尚未掌握的违法行为的；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rPr>
        <w:t>（四）配合行政机关查处违法行为有立功表现的；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宋体" w:eastAsia="仿宋_GB2312" w:cs="Times New Roman"/>
          <w:sz w:val="32"/>
          <w:szCs w:val="32"/>
          <w:highlight w:val="none"/>
          <w:lang w:eastAsia="zh-CN"/>
        </w:rPr>
      </w:pPr>
      <w:r>
        <w:rPr>
          <w:rFonts w:hint="eastAsia" w:ascii="仿宋_GB2312" w:hAnsi="宋体" w:eastAsia="仿宋_GB2312" w:cs="Times New Roman"/>
          <w:sz w:val="32"/>
          <w:szCs w:val="32"/>
          <w:highlight w:val="none"/>
        </w:rPr>
        <w:t>（五）法律、法规、规章规定其他应当从轻或者减轻行政处罚的</w:t>
      </w:r>
      <w:r>
        <w:rPr>
          <w:rFonts w:hint="eastAsia" w:ascii="仿宋_GB2312" w:hAnsi="宋体"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baseline"/>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《中华人民共和国食品安全法》第三十四条第一款第（十）项：</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宋体" w:eastAsia="仿宋_GB2312"/>
          <w:sz w:val="32"/>
          <w:szCs w:val="32"/>
          <w:highlight w:val="none"/>
        </w:rPr>
      </w:pPr>
      <w:r>
        <w:rPr>
          <w:rFonts w:hint="eastAsia" w:ascii="仿宋_GB2312" w:hAnsi="仿宋" w:eastAsia="仿宋_GB2312"/>
          <w:sz w:val="32"/>
          <w:szCs w:val="32"/>
          <w:highlight w:val="none"/>
        </w:rPr>
        <w:t xml:space="preserve"> </w:t>
      </w:r>
      <w:r>
        <w:rPr>
          <w:rFonts w:hint="eastAsia" w:ascii="仿宋_GB2312" w:hAnsi="宋体" w:eastAsia="仿宋_GB2312"/>
          <w:sz w:val="32"/>
          <w:szCs w:val="32"/>
          <w:highlight w:val="none"/>
        </w:rPr>
        <w:t>禁止生产经营下列食品、食品添加剂、食品相关产品：</w:t>
      </w:r>
    </w:p>
    <w:p>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firstLine="640" w:firstLineChars="200"/>
        <w:textAlignment w:val="baseline"/>
        <w:rPr>
          <w:rFonts w:hint="eastAsia" w:ascii="仿宋_GB2312" w:hAnsi="宋体" w:eastAsia="仿宋_GB2312"/>
          <w:sz w:val="32"/>
          <w:szCs w:val="32"/>
          <w:highlight w:val="none"/>
        </w:rPr>
      </w:pPr>
      <w:r>
        <w:rPr>
          <w:rFonts w:hint="eastAsia" w:ascii="仿宋_GB2312" w:hAnsi="宋体" w:eastAsia="仿宋_GB2312"/>
          <w:sz w:val="32"/>
          <w:szCs w:val="32"/>
          <w:highlight w:val="none"/>
        </w:rPr>
        <w:t xml:space="preserve">标注虚假生产日期、保质期或者超过保质期的食品、食品添加剂；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 w:val="0"/>
          <w:bCs/>
          <w:sz w:val="32"/>
          <w:szCs w:val="32"/>
          <w:highlight w:val="none"/>
        </w:rPr>
      </w:pPr>
      <w:r>
        <w:rPr>
          <w:rFonts w:hint="eastAsia" w:ascii="仿宋_GB2312" w:hAnsi="仿宋" w:eastAsia="仿宋_GB2312"/>
          <w:b/>
          <w:sz w:val="32"/>
          <w:szCs w:val="32"/>
          <w:highlight w:val="none"/>
        </w:rPr>
        <w:t>《中华人民共和国食品安全法》第五十三条</w:t>
      </w:r>
      <w:r>
        <w:rPr>
          <w:rFonts w:hint="eastAsia" w:ascii="仿宋_GB2312" w:hAnsi="仿宋" w:eastAsia="仿宋_GB2312"/>
          <w:b/>
          <w:sz w:val="32"/>
          <w:szCs w:val="32"/>
          <w:highlight w:val="none"/>
          <w:lang w:eastAsia="zh-CN"/>
        </w:rPr>
        <w:t>第一款：</w:t>
      </w:r>
      <w:r>
        <w:rPr>
          <w:rFonts w:hint="eastAsia" w:ascii="仿宋_GB2312" w:hAnsi="仿宋" w:eastAsia="仿宋_GB2312"/>
          <w:b/>
          <w:sz w:val="32"/>
          <w:szCs w:val="32"/>
          <w:highlight w:val="none"/>
        </w:rPr>
        <w:t>　</w:t>
      </w:r>
      <w:r>
        <w:rPr>
          <w:rFonts w:hint="eastAsia" w:ascii="仿宋_GB2312" w:hAnsi="仿宋" w:eastAsia="仿宋_GB2312"/>
          <w:b w:val="0"/>
          <w:bCs/>
          <w:sz w:val="32"/>
          <w:szCs w:val="32"/>
          <w:highlight w:val="none"/>
        </w:rPr>
        <w:t>食品经营者采购食品，应当查验供货者的许可证和食品出厂检验合格证或者其他合格证明（以下称合格证明文件）。</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baseline"/>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《中华人民共和国食品安全法》第一百二十四条第一款第（五）项：</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宋体" w:eastAsia="仿宋_GB2312"/>
          <w:sz w:val="32"/>
          <w:szCs w:val="32"/>
          <w:highlight w:val="none"/>
        </w:rPr>
      </w:pPr>
      <w:r>
        <w:rPr>
          <w:rFonts w:hint="eastAsia" w:ascii="仿宋_GB2312" w:hAnsi="宋体" w:eastAsia="仿宋_GB2312"/>
          <w:sz w:val="32"/>
          <w:szCs w:val="32"/>
          <w:highlight w:val="none"/>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仿宋_GB2312" w:hAnsi="宋体" w:eastAsia="仿宋_GB2312"/>
          <w:sz w:val="32"/>
          <w:szCs w:val="32"/>
          <w:highlight w:val="none"/>
        </w:rPr>
        <w:br w:type="textWrapping"/>
      </w:r>
      <w:r>
        <w:rPr>
          <w:rFonts w:hint="eastAsia" w:ascii="仿宋_GB2312" w:hAnsi="宋体" w:eastAsia="仿宋_GB2312"/>
          <w:sz w:val="32"/>
          <w:szCs w:val="32"/>
          <w:highlight w:val="none"/>
        </w:rPr>
        <w:t>　  （五）生产经营标注虚假生产日期、保质期或者超过保质期的食品、食品添加剂；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sz w:val="32"/>
          <w:szCs w:val="32"/>
          <w:highlight w:val="none"/>
        </w:rPr>
      </w:pPr>
      <w:r>
        <w:rPr>
          <w:rFonts w:hint="eastAsia" w:ascii="仿宋_GB2312" w:hAnsi="仿宋" w:eastAsia="仿宋_GB2312"/>
          <w:b/>
          <w:bCs/>
          <w:sz w:val="32"/>
          <w:szCs w:val="32"/>
          <w:highlight w:val="none"/>
        </w:rPr>
        <w:t>第一百二十六条</w:t>
      </w:r>
      <w:r>
        <w:rPr>
          <w:rFonts w:hint="eastAsia" w:ascii="仿宋_GB2312" w:hAnsi="仿宋" w:eastAsia="仿宋_GB2312"/>
          <w:sz w:val="32"/>
          <w:szCs w:val="32"/>
          <w:highlight w:val="none"/>
        </w:rPr>
        <w:t>　违反本法规定，有下列情形之一的，由县级以上人民政府食品安全监督管理部门责令改正，给予警告；拒不改正的，处五千元以上五万元以下罚款；情节严重的，责令停产停业，直至吊销许可证：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（三）食品、食品添加剂生产经营者进货时未查验许可证和相关证明文件，或者未按规定建立并遵守进货查验记录、出厂检验记录和销售记录制度；</w:t>
      </w:r>
    </w:p>
    <w:p>
      <w:pPr>
        <w:keepNext w:val="0"/>
        <w:keepLines w:val="0"/>
        <w:pageBreakBefore w:val="0"/>
        <w:kinsoku/>
        <w:overflowPunct/>
        <w:topLinePunct w:val="0"/>
        <w:autoSpaceDE/>
        <w:autoSpaceDN/>
        <w:bidi w:val="0"/>
        <w:spacing w:line="560" w:lineRule="exact"/>
        <w:ind w:firstLine="640" w:firstLineChars="200"/>
        <w:outlineLvl w:val="9"/>
        <w:rPr>
          <w:rFonts w:hint="eastAsia" w:ascii="仿宋_GB2312" w:eastAsia="仿宋_GB2312"/>
          <w:sz w:val="32"/>
          <w:szCs w:val="32"/>
          <w:highlight w:val="none"/>
        </w:rPr>
      </w:pPr>
    </w:p>
    <w:p>
      <w:pPr>
        <w:spacing w:before="106" w:line="183" w:lineRule="auto"/>
        <w:ind w:firstLine="231"/>
        <w:rPr>
          <w:rFonts w:hint="eastAsia" w:ascii="仿宋" w:hAnsi="仿宋" w:eastAsia="仿宋" w:cs="仿宋"/>
          <w:spacing w:val="0"/>
          <w:w w:val="100"/>
          <w:sz w:val="32"/>
          <w:szCs w:val="32"/>
          <w:u w:val="none"/>
          <w:lang w:eastAsia="zh-CN"/>
        </w:rPr>
      </w:pPr>
    </w:p>
    <w:p>
      <w:pPr>
        <w:spacing w:before="106" w:line="183" w:lineRule="auto"/>
        <w:ind w:firstLine="231"/>
        <w:rPr>
          <w:rFonts w:hint="eastAsia" w:ascii="仿宋" w:hAnsi="仿宋" w:eastAsia="仿宋" w:cs="仿宋"/>
          <w:spacing w:val="0"/>
          <w:w w:val="100"/>
          <w:sz w:val="32"/>
          <w:szCs w:val="32"/>
          <w:u w:val="none"/>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014F34"/>
    <w:multiLevelType w:val="singleLevel"/>
    <w:tmpl w:val="E8014F34"/>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0523EB0"/>
    <w:rsid w:val="016A6FD7"/>
    <w:rsid w:val="04293CFB"/>
    <w:rsid w:val="0B3440E4"/>
    <w:rsid w:val="0D447276"/>
    <w:rsid w:val="0DBD22EC"/>
    <w:rsid w:val="0DC12675"/>
    <w:rsid w:val="114C2FAE"/>
    <w:rsid w:val="11621A79"/>
    <w:rsid w:val="14515DD5"/>
    <w:rsid w:val="23AD74CB"/>
    <w:rsid w:val="24B9255E"/>
    <w:rsid w:val="25227A45"/>
    <w:rsid w:val="253A7874"/>
    <w:rsid w:val="264E7E89"/>
    <w:rsid w:val="27181761"/>
    <w:rsid w:val="289A78F2"/>
    <w:rsid w:val="29B35913"/>
    <w:rsid w:val="2A306760"/>
    <w:rsid w:val="2BEB12ED"/>
    <w:rsid w:val="2C545A11"/>
    <w:rsid w:val="2F8512FC"/>
    <w:rsid w:val="30175A94"/>
    <w:rsid w:val="353F631E"/>
    <w:rsid w:val="39B20F40"/>
    <w:rsid w:val="3A494B50"/>
    <w:rsid w:val="3AFB3A56"/>
    <w:rsid w:val="3AFE1F63"/>
    <w:rsid w:val="3BF75330"/>
    <w:rsid w:val="3E8D1F7B"/>
    <w:rsid w:val="414D154E"/>
    <w:rsid w:val="41913B31"/>
    <w:rsid w:val="42E27DDC"/>
    <w:rsid w:val="44185E43"/>
    <w:rsid w:val="452A2718"/>
    <w:rsid w:val="464F5D68"/>
    <w:rsid w:val="474F4272"/>
    <w:rsid w:val="47BA0375"/>
    <w:rsid w:val="497D7590"/>
    <w:rsid w:val="4D724A1E"/>
    <w:rsid w:val="526470DD"/>
    <w:rsid w:val="53553D5C"/>
    <w:rsid w:val="54ED50CA"/>
    <w:rsid w:val="55F46D30"/>
    <w:rsid w:val="591F781C"/>
    <w:rsid w:val="5BF3746A"/>
    <w:rsid w:val="5C58107B"/>
    <w:rsid w:val="5C7B2FBB"/>
    <w:rsid w:val="5C86208C"/>
    <w:rsid w:val="5E457324"/>
    <w:rsid w:val="63D74F7B"/>
    <w:rsid w:val="658B24C1"/>
    <w:rsid w:val="65CE23AE"/>
    <w:rsid w:val="66C739CD"/>
    <w:rsid w:val="69293CA2"/>
    <w:rsid w:val="6A252073"/>
    <w:rsid w:val="6AB959E6"/>
    <w:rsid w:val="6BE5323D"/>
    <w:rsid w:val="6F842A78"/>
    <w:rsid w:val="72AF2EBE"/>
    <w:rsid w:val="751B33A8"/>
    <w:rsid w:val="77365F93"/>
    <w:rsid w:val="78D37FAF"/>
    <w:rsid w:val="795B53DC"/>
    <w:rsid w:val="7A08324D"/>
    <w:rsid w:val="7C091DFF"/>
    <w:rsid w:val="7C337D02"/>
    <w:rsid w:val="7D0A7D18"/>
    <w:rsid w:val="7DA55C93"/>
    <w:rsid w:val="7F7D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link w:val="7"/>
    <w:semiHidden/>
    <w:qFormat/>
    <w:uiPriority w:val="0"/>
    <w:rPr>
      <w:rFonts w:ascii="Verdana" w:hAnsi="Verdana"/>
      <w:kern w:val="0"/>
      <w:sz w:val="20"/>
      <w:lang w:eastAsia="en-US"/>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0"/>
    <w:pPr>
      <w:spacing w:line="199" w:lineRule="auto"/>
      <w:jc w:val="center"/>
      <w:outlineLvl w:val="0"/>
    </w:pPr>
    <w:rPr>
      <w:rFonts w:ascii="Microsoft JhengHei" w:hAnsi="Microsoft JhengHei" w:eastAsia="Microsoft JhengHei" w:cs="Microsoft JhengHei"/>
      <w:spacing w:val="-2"/>
      <w:sz w:val="44"/>
      <w:szCs w:val="44"/>
    </w:rPr>
  </w:style>
  <w:style w:type="paragraph" w:customStyle="1" w:styleId="7">
    <w:name w:val="Char Char Char Char"/>
    <w:basedOn w:val="1"/>
    <w:link w:val="6"/>
    <w:uiPriority w:val="0"/>
    <w:pPr>
      <w:widowControl/>
      <w:spacing w:after="160" w:line="240" w:lineRule="exact"/>
      <w:jc w:val="left"/>
    </w:pPr>
    <w:rPr>
      <w:rFonts w:ascii="Verdana" w:hAnsi="Verdana"/>
      <w:kern w:val="0"/>
      <w:sz w:val="20"/>
      <w:lang w:eastAsia="en-US"/>
    </w:rPr>
  </w:style>
  <w:style w:type="character" w:styleId="8">
    <w:name w:val="page number"/>
    <w:basedOn w:val="6"/>
    <w:qFormat/>
    <w:uiPriority w:val="0"/>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media/image1.jpeg" Type="http://schemas.openxmlformats.org/officeDocument/2006/relationships/image"/><Relationship Id="rId7" Target="media/image2.png" Type="http://schemas.openxmlformats.org/officeDocument/2006/relationships/imag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2024-02-28T02:14:00Z</dcterms:created>
  <dc:creator>admin</dc:creator>
  <cp:lastModifiedBy>叶寅青</cp:lastModifiedBy>
  <dcterms:modified xsi:type="dcterms:W3CDTF">2025-01-10T01:12:27Z</dcterms:modified>
  <dc:title>莆田市市场监督管理局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418C01DBAB86420BB5E3D98C8368170E_12</vt:lpwstr>
  </property>
</Properties>
</file>