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keepNext w:val="0"/>
        <w:keepLines w:val="0"/>
        <w:pageBreakBefore w:val="0"/>
        <w:widowControl w:val="0"/>
        <w:kinsoku/>
        <w:wordWrap/>
        <w:overflowPunct/>
        <w:topLinePunct w:val="0"/>
        <w:autoSpaceDE/>
        <w:autoSpaceDN/>
        <w:bidi w:val="0"/>
        <w:adjustRightInd/>
        <w:snapToGrid w:val="0"/>
        <w:spacing w:after="292" w:afterLines="50" w:line="500" w:lineRule="exact"/>
        <w:jc w:val="center"/>
        <w:textAlignment w:val="auto"/>
        <w:rPr>
          <w:rFonts w:hint="eastAsia" w:eastAsia="仿宋_GB2312" w:cs="仿宋_GB2312"/>
          <w:kern w:val="1"/>
          <w:sz w:val="32"/>
          <w:szCs w:val="32"/>
        </w:rPr>
      </w:pPr>
      <w:r>
        <w:rPr>
          <w:rFonts w:hint="eastAsia" w:eastAsia="仿宋_GB2312" w:cs="仿宋_GB2312"/>
          <w:kern w:val="1"/>
          <w:sz w:val="32"/>
          <w:szCs w:val="32"/>
        </w:rPr>
        <w:t>莆市监</w:t>
      </w:r>
      <w:r>
        <w:rPr>
          <w:rFonts w:hint="eastAsia" w:eastAsia="仿宋_GB2312" w:cs="仿宋_GB2312"/>
          <w:kern w:val="1"/>
          <w:sz w:val="32"/>
          <w:szCs w:val="32"/>
          <w:lang w:eastAsia="zh-CN"/>
        </w:rPr>
        <w:t>处</w:t>
      </w:r>
      <w:r>
        <w:rPr>
          <w:rFonts w:hint="eastAsia" w:eastAsia="仿宋_GB2312" w:cs="仿宋_GB2312"/>
          <w:kern w:val="1"/>
          <w:sz w:val="32"/>
          <w:szCs w:val="32"/>
        </w:rPr>
        <w:t>罚</w:t>
      </w:r>
      <w:r>
        <w:rPr>
          <w:rFonts w:hint="eastAsia" w:ascii="仿宋_GB2312" w:hAnsi="仿宋_GB2312" w:eastAsia="仿宋_GB2312" w:cs="仿宋_GB2312"/>
          <w:kern w:val="1"/>
          <w:sz w:val="32"/>
          <w:szCs w:val="32"/>
        </w:rPr>
        <w:t>〔2024〕04030001</w:t>
      </w:r>
      <w:r>
        <w:rPr>
          <w:rFonts w:hint="eastAsia" w:eastAsia="仿宋_GB2312" w:cs="仿宋_GB2312"/>
          <w:kern w:val="1"/>
          <w:sz w:val="32"/>
          <w:szCs w:val="32"/>
        </w:rPr>
        <w:t>号</w:t>
      </w:r>
    </w:p>
    <w:p>
      <w:pPr>
        <w:keepNext w:val="0"/>
        <w:keepLines w:val="0"/>
        <w:pageBreakBefore w:val="0"/>
        <w:widowControl w:val="0"/>
        <w:kinsoku/>
        <w:wordWrap/>
        <w:overflowPunct/>
        <w:topLinePunct w:val="0"/>
        <w:autoSpaceDN/>
        <w:bidi w:val="0"/>
        <w:snapToGrid w:val="0"/>
        <w:spacing w:line="500" w:lineRule="exact"/>
        <w:jc w:val="both"/>
        <w:rPr>
          <w:rFonts w:hint="eastAsia"/>
        </w:rPr>
      </w:pPr>
      <w:r>
        <w:rPr>
          <w:rFonts w:hint="eastAsia" w:eastAsia="仿宋_GB2312" w:cs="仿宋_GB2312"/>
          <w:kern w:val="1"/>
          <w:sz w:val="32"/>
          <w:szCs w:val="32"/>
        </w:rPr>
        <w:t xml:space="preserve">当事人：莆田市涵江区文邦便利店      </w:t>
      </w:r>
    </w:p>
    <w:p>
      <w:pPr>
        <w:keepNext w:val="0"/>
        <w:keepLines w:val="0"/>
        <w:pageBreakBefore w:val="0"/>
        <w:widowControl w:val="0"/>
        <w:kinsoku/>
        <w:wordWrap/>
        <w:overflowPunct/>
        <w:topLinePunct w:val="0"/>
        <w:autoSpaceDN/>
        <w:bidi w:val="0"/>
        <w:spacing w:line="500" w:lineRule="exact"/>
        <w:rPr>
          <w:rFonts w:hint="eastAsia" w:eastAsia="仿宋_GB2312" w:cs="仿宋_GB2312"/>
          <w:kern w:val="1"/>
          <w:sz w:val="32"/>
          <w:szCs w:val="32"/>
        </w:rPr>
      </w:pPr>
      <w:r>
        <w:rPr>
          <w:rFonts w:hint="eastAsia"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N/>
        <w:bidi w:val="0"/>
        <w:spacing w:line="500" w:lineRule="exact"/>
        <w:rPr>
          <w:rFonts w:hint="eastAsia"/>
        </w:rPr>
      </w:pPr>
      <w:r>
        <w:rPr>
          <w:rFonts w:hint="eastAsia" w:eastAsia="仿宋_GB2312" w:cs="仿宋_GB2312"/>
          <w:kern w:val="1"/>
          <w:sz w:val="32"/>
          <w:szCs w:val="32"/>
        </w:rPr>
        <w:t>统一社会信用代码：</w:t>
      </w:r>
      <w:r>
        <w:rPr>
          <w:rFonts w:hint="eastAsia" w:ascii="仿宋_GB2312" w:hAnsi="仿宋_GB2312" w:eastAsia="仿宋_GB2312" w:cs="仿宋_GB2312"/>
          <w:b w:val="0"/>
          <w:bCs/>
          <w:sz w:val="32"/>
          <w:szCs w:val="32"/>
        </w:rPr>
        <w:t>92350303MA32NPM838</w:t>
      </w:r>
    </w:p>
    <w:p>
      <w:pPr>
        <w:keepNext w:val="0"/>
        <w:keepLines w:val="0"/>
        <w:pageBreakBefore w:val="0"/>
        <w:widowControl w:val="0"/>
        <w:kinsoku/>
        <w:wordWrap/>
        <w:overflowPunct/>
        <w:topLinePunct w:val="0"/>
        <w:autoSpaceDN/>
        <w:bidi w:val="0"/>
        <w:spacing w:line="500" w:lineRule="exact"/>
        <w:rPr>
          <w:rFonts w:hint="eastAsia"/>
        </w:rPr>
      </w:pPr>
      <w:r>
        <w:rPr>
          <w:rFonts w:hint="eastAsia" w:ascii="仿宋_GB2312" w:hAnsi="仿宋_GB2312" w:eastAsia="仿宋_GB2312" w:cs="仿宋_GB2312"/>
          <w:sz w:val="32"/>
          <w:szCs w:val="32"/>
        </w:rPr>
        <w:t>经营场所：</w:t>
      </w:r>
      <w:r>
        <w:rPr>
          <w:rFonts w:hint="eastAsia" w:ascii="仿宋_GB2312" w:hAnsi="仿宋_GB2312" w:eastAsia="仿宋_GB2312" w:cs="仿宋_GB2312"/>
          <w:b w:val="0"/>
          <w:bCs/>
          <w:sz w:val="32"/>
          <w:szCs w:val="32"/>
        </w:rPr>
        <w:t>莆田市涵江区福建省涵西街道塘北路656号</w:t>
      </w:r>
    </w:p>
    <w:p>
      <w:pPr>
        <w:keepNext w:val="0"/>
        <w:keepLines w:val="0"/>
        <w:pageBreakBefore w:val="0"/>
        <w:widowControl w:val="0"/>
        <w:kinsoku/>
        <w:wordWrap/>
        <w:overflowPunct/>
        <w:topLinePunct w:val="0"/>
        <w:autoSpaceDN/>
        <w:bidi w:val="0"/>
        <w:spacing w:line="500" w:lineRule="exact"/>
        <w:rPr>
          <w:rFonts w:hint="eastAsia" w:ascii="仿宋_GB2312" w:hAnsi="仿宋" w:eastAsia="仿宋_GB2312"/>
          <w:sz w:val="32"/>
          <w:szCs w:val="32"/>
        </w:rPr>
      </w:pPr>
      <w:r>
        <w:rPr>
          <w:rFonts w:hint="eastAsia" w:ascii="仿宋_GB2312" w:hAnsi="仿宋_GB2312" w:eastAsia="仿宋_GB2312" w:cs="仿宋_GB2312"/>
          <w:sz w:val="32"/>
          <w:szCs w:val="32"/>
        </w:rPr>
        <w:t>经营者：</w:t>
      </w:r>
      <w:r>
        <w:rPr>
          <w:rFonts w:hint="eastAsia" w:ascii="仿宋_GB2312" w:hAnsi="仿宋_GB2312" w:eastAsia="仿宋_GB2312" w:cs="仿宋_GB2312"/>
          <w:b w:val="0"/>
          <w:bCs/>
          <w:sz w:val="32"/>
          <w:szCs w:val="32"/>
        </w:rPr>
        <w:t>邓志锋</w:t>
      </w:r>
    </w:p>
    <w:p>
      <w:pPr>
        <w:keepNext w:val="0"/>
        <w:keepLines w:val="0"/>
        <w:pageBreakBefore w:val="0"/>
        <w:widowControl w:val="0"/>
        <w:kinsoku/>
        <w:wordWrap/>
        <w:overflowPunct/>
        <w:topLinePunct w:val="0"/>
        <w:autoSpaceDN/>
        <w:bidi w:val="0"/>
        <w:spacing w:line="500" w:lineRule="exact"/>
        <w:rPr>
          <w:rFonts w:hint="default"/>
          <w:lang w:val="en-US"/>
        </w:rPr>
      </w:pPr>
      <w:r>
        <w:rPr>
          <w:rFonts w:hint="eastAsia" w:eastAsia="仿宋_GB2312" w:cs="仿宋_GB2312"/>
          <w:kern w:val="1"/>
          <w:sz w:val="32"/>
          <w:szCs w:val="32"/>
        </w:rPr>
        <w:t>公民身份号码：</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kinsoku/>
        <w:wordWrap/>
        <w:overflowPunct/>
        <w:topLinePunct w:val="0"/>
        <w:autoSpaceDN/>
        <w:bidi w:val="0"/>
        <w:spacing w:line="500" w:lineRule="exact"/>
        <w:rPr>
          <w:rFonts w:hint="default"/>
          <w:lang w:val="en-US"/>
        </w:rPr>
      </w:pPr>
      <w:r>
        <w:rPr>
          <w:rFonts w:hint="eastAsia" w:eastAsia="仿宋_GB2312" w:cs="仿宋_GB2312"/>
          <w:kern w:val="1"/>
          <w:sz w:val="32"/>
          <w:szCs w:val="32"/>
        </w:rPr>
        <w:t>联系电话：</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kinsoku/>
        <w:wordWrap/>
        <w:overflowPunct/>
        <w:topLinePunct w:val="0"/>
        <w:autoSpaceDN/>
        <w:bidi w:val="0"/>
        <w:spacing w:line="500" w:lineRule="exact"/>
        <w:rPr>
          <w:rFonts w:hint="default"/>
          <w:lang w:val="en-US"/>
        </w:rPr>
      </w:pPr>
      <w:r>
        <w:rPr>
          <w:rFonts w:hint="eastAsia" w:eastAsia="仿宋_GB2312" w:cs="仿宋_GB2312"/>
          <w:kern w:val="1"/>
          <w:sz w:val="32"/>
          <w:szCs w:val="32"/>
        </w:rPr>
        <w:t>联系地址：</w:t>
      </w:r>
      <w:r>
        <w:rPr>
          <w:rFonts w:hint="eastAsia" w:ascii="仿宋_GB2312" w:hAnsi="仿宋_GB2312" w:eastAsia="仿宋_GB2312" w:cs="仿宋_GB2312"/>
          <w:b w:val="0"/>
          <w:bCs/>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00" w:lineRule="exact"/>
        <w:ind w:firstLine="627" w:firstLineChars="19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年4月2日，本局根据涵江区市场监督管理局现场移交的案件线索，依法对位于莆田市涵江区福建省涵西街道塘北路656号的莆田市涵江区文邦便利店进行现场检查，在该店货架上发现有食品脉动青柠味维生素饮料（其中1瓶生产日期：2023年04月23日，3瓶生产日期：2023年05月16日，保质期：10个月）4瓶，脉动桃子味维生素饮料（生产日期：2023年5月11日，保质期：10个月）2瓶、康师傅香辣牛肉面（生产日期：2023年09月27日，保质期至2024年03月26日）5桶，上述食品均已超过保质期。当事人经营过期食品的行为，涉嫌违反了《中华人民共和国食品安全法》第三十四条第（十）项的规定，经局领导审批，本局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日立案调查。</w:t>
      </w:r>
    </w:p>
    <w:p>
      <w:pPr>
        <w:keepNext w:val="0"/>
        <w:keepLines w:val="0"/>
        <w:pageBreakBefore w:val="0"/>
        <w:widowControl w:val="0"/>
        <w:kinsoku/>
        <w:wordWrap/>
        <w:overflowPunct/>
        <w:topLinePunct w:val="0"/>
        <w:autoSpaceDE/>
        <w:autoSpaceDN/>
        <w:bidi w:val="0"/>
        <w:adjustRightInd w:val="0"/>
        <w:snapToGrid/>
        <w:spacing w:line="500" w:lineRule="exact"/>
        <w:ind w:firstLine="627" w:firstLineChars="196"/>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经查明，当事人于2023年5月28日号从易久批app平台上以进货价3.6元/瓶的进货价各购买</w:t>
      </w:r>
      <w:r>
        <w:rPr>
          <w:rFonts w:hint="eastAsia" w:ascii="仿宋_GB2312" w:hAnsi="仿宋_GB2312" w:eastAsia="仿宋_GB2312" w:cs="仿宋_GB2312"/>
          <w:sz w:val="32"/>
          <w:szCs w:val="32"/>
          <w:lang w:eastAsia="zh-CN"/>
        </w:rPr>
        <w:t>脉动青柠味维生素饮料</w:t>
      </w:r>
      <w:r>
        <w:rPr>
          <w:rFonts w:hint="eastAsia" w:ascii="仿宋_GB2312" w:hAnsi="仿宋_GB2312" w:eastAsia="仿宋_GB2312" w:cs="仿宋_GB2312"/>
          <w:sz w:val="32"/>
          <w:szCs w:val="32"/>
          <w:lang w:val="en-US" w:eastAsia="zh-CN"/>
        </w:rPr>
        <w:t>15瓶、脉动水蜜桃口味</w:t>
      </w:r>
      <w:r>
        <w:rPr>
          <w:rFonts w:hint="eastAsia" w:ascii="仿宋_GB2312" w:hAnsi="仿宋_GB2312" w:eastAsia="仿宋_GB2312" w:cs="仿宋_GB2312"/>
          <w:sz w:val="32"/>
          <w:szCs w:val="32"/>
          <w:lang w:eastAsia="zh-CN"/>
        </w:rPr>
        <w:t>维生素饮料</w:t>
      </w:r>
      <w:r>
        <w:rPr>
          <w:rFonts w:hint="eastAsia" w:ascii="仿宋_GB2312" w:hAnsi="仿宋_GB2312" w:eastAsia="仿宋_GB2312" w:cs="仿宋_GB2312"/>
          <w:sz w:val="32"/>
          <w:szCs w:val="32"/>
          <w:lang w:val="en-US" w:eastAsia="zh-CN"/>
        </w:rPr>
        <w:t>15瓶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2023年6月21日从易久批app平台上以进货价3.67元/瓶的进货价各购买</w:t>
      </w:r>
      <w:r>
        <w:rPr>
          <w:rFonts w:hint="eastAsia" w:ascii="仿宋_GB2312" w:hAnsi="仿宋_GB2312" w:eastAsia="仿宋_GB2312" w:cs="仿宋_GB2312"/>
          <w:sz w:val="32"/>
          <w:szCs w:val="32"/>
          <w:lang w:eastAsia="zh-CN"/>
        </w:rPr>
        <w:t>脉动青柠味维生素饮料</w:t>
      </w:r>
      <w:r>
        <w:rPr>
          <w:rFonts w:hint="eastAsia" w:ascii="仿宋_GB2312" w:hAnsi="仿宋_GB2312" w:eastAsia="仿宋_GB2312" w:cs="仿宋_GB2312"/>
          <w:sz w:val="32"/>
          <w:szCs w:val="32"/>
          <w:lang w:val="en-US" w:eastAsia="zh-CN"/>
        </w:rPr>
        <w:t>15瓶、脉动水蜜桃口味</w:t>
      </w:r>
      <w:r>
        <w:rPr>
          <w:rFonts w:hint="eastAsia" w:ascii="仿宋_GB2312" w:hAnsi="仿宋_GB2312" w:eastAsia="仿宋_GB2312" w:cs="仿宋_GB2312"/>
          <w:sz w:val="32"/>
          <w:szCs w:val="32"/>
          <w:lang w:eastAsia="zh-CN"/>
        </w:rPr>
        <w:t>维生素饮料</w:t>
      </w:r>
      <w:r>
        <w:rPr>
          <w:rFonts w:hint="eastAsia" w:ascii="仿宋_GB2312" w:hAnsi="仿宋_GB2312" w:eastAsia="仿宋_GB2312" w:cs="仿宋_GB2312"/>
          <w:sz w:val="32"/>
          <w:szCs w:val="32"/>
          <w:lang w:val="en-US" w:eastAsia="zh-CN"/>
        </w:rPr>
        <w:t>15瓶</w:t>
      </w:r>
      <w:r>
        <w:rPr>
          <w:rFonts w:hint="eastAsia" w:ascii="仿宋_GB2312" w:hAnsi="仿宋_GB2312" w:eastAsia="仿宋_GB2312" w:cs="仿宋_GB2312"/>
          <w:sz w:val="32"/>
          <w:szCs w:val="32"/>
          <w:lang w:eastAsia="zh-CN"/>
        </w:rPr>
        <w:t>；并以</w:t>
      </w:r>
      <w:r>
        <w:rPr>
          <w:rFonts w:hint="eastAsia" w:ascii="仿宋_GB2312" w:hAnsi="仿宋_GB2312" w:eastAsia="仿宋_GB2312" w:cs="仿宋_GB2312"/>
          <w:sz w:val="32"/>
          <w:szCs w:val="32"/>
          <w:lang w:val="en-US" w:eastAsia="zh-CN"/>
        </w:rPr>
        <w:t>5元/瓶的销售于其店内销售，除被本局扣押的4瓶</w:t>
      </w:r>
      <w:r>
        <w:rPr>
          <w:rFonts w:hint="eastAsia" w:ascii="仿宋_GB2312" w:hAnsi="仿宋_GB2312" w:eastAsia="仿宋_GB2312" w:cs="仿宋_GB2312"/>
          <w:sz w:val="32"/>
          <w:szCs w:val="32"/>
          <w:lang w:eastAsia="zh-CN"/>
        </w:rPr>
        <w:t>脉动青柠味维生素饮料（其中1瓶生产日期：2023年04月23日，3瓶生产日期：2023年05月16日，保质期：10个月）、2瓶脉动桃子味维生素饮料（生产日期：2023年5月11日，保质期：10个月）外，其余均已在保质期内售出。另当事人于</w:t>
      </w:r>
      <w:r>
        <w:rPr>
          <w:rFonts w:hint="eastAsia" w:ascii="仿宋_GB2312" w:hAnsi="仿宋_GB2312" w:eastAsia="仿宋_GB2312" w:cs="仿宋_GB2312"/>
          <w:sz w:val="32"/>
          <w:szCs w:val="32"/>
          <w:lang w:val="en-US" w:eastAsia="zh-CN"/>
        </w:rPr>
        <w:t>2023年12月2日以55的总进货价从莆田市荔城区海龙供应链采购康师傅香辣牛肉面（大食桶）12桶，并以6元/桶的销售价进行销售，除本局扣押的5桶</w:t>
      </w:r>
      <w:r>
        <w:rPr>
          <w:rFonts w:hint="eastAsia" w:ascii="仿宋_GB2312" w:hAnsi="仿宋_GB2312" w:eastAsia="仿宋_GB2312" w:cs="仿宋_GB2312"/>
          <w:sz w:val="32"/>
          <w:szCs w:val="32"/>
          <w:lang w:eastAsia="zh-CN"/>
        </w:rPr>
        <w:t>（生产日期：2023年09月27日，保质期至2024年03月26日）</w:t>
      </w:r>
      <w:r>
        <w:rPr>
          <w:rFonts w:hint="eastAsia" w:ascii="仿宋_GB2312" w:hAnsi="仿宋_GB2312" w:eastAsia="仿宋_GB2312" w:cs="仿宋_GB2312"/>
          <w:sz w:val="32"/>
          <w:szCs w:val="32"/>
          <w:lang w:val="en-US" w:eastAsia="zh-CN"/>
        </w:rPr>
        <w:t>外，其余均已在保质期内售出。上述涉案过期食品货值金额为60元，无违法所得。</w:t>
      </w:r>
    </w:p>
    <w:p>
      <w:pPr>
        <w:keepNext w:val="0"/>
        <w:keepLines w:val="0"/>
        <w:pageBreakBefore w:val="0"/>
        <w:widowControl w:val="0"/>
        <w:kinsoku/>
        <w:wordWrap/>
        <w:overflowPunct/>
        <w:topLinePunct w:val="0"/>
        <w:autoSpaceDE w:val="0"/>
        <w:autoSpaceDN/>
        <w:bidi w:val="0"/>
        <w:spacing w:line="500" w:lineRule="exact"/>
        <w:ind w:firstLine="615" w:firstLineChars="196"/>
        <w:jc w:val="left"/>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上述事实，主要有以下证据证明:1.</w:t>
      </w:r>
      <w:r>
        <w:rPr>
          <w:rFonts w:hint="eastAsia" w:ascii="仿宋_GB2312" w:hAnsi="仿宋_GB2312" w:eastAsia="仿宋_GB2312" w:cs="仿宋_GB2312"/>
          <w:sz w:val="32"/>
          <w:szCs w:val="32"/>
        </w:rPr>
        <w:t>当事人营业执照、</w:t>
      </w:r>
      <w:r>
        <w:rPr>
          <w:rFonts w:hint="eastAsia" w:ascii="仿宋_GB2312" w:hAnsi="仿宋_GB2312" w:eastAsia="仿宋_GB2312" w:cs="仿宋_GB2312"/>
          <w:sz w:val="32"/>
          <w:szCs w:val="32"/>
          <w:lang w:eastAsia="zh-CN"/>
        </w:rPr>
        <w:t>食品药品生产经营许可证、经营者身份证、</w:t>
      </w:r>
      <w:r>
        <w:rPr>
          <w:rFonts w:hint="eastAsia" w:ascii="仿宋_GB2312" w:hAnsi="仿宋_GB2312" w:eastAsia="仿宋_GB2312" w:cs="仿宋_GB2312"/>
          <w:b w:val="0"/>
          <w:bCs/>
          <w:sz w:val="32"/>
          <w:szCs w:val="32"/>
          <w:lang w:eastAsia="zh-CN"/>
        </w:rPr>
        <w:t>受委托代理人身份证</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及授权委托书</w:t>
      </w:r>
      <w:r>
        <w:rPr>
          <w:rFonts w:hint="eastAsia" w:ascii="仿宋_GB2312" w:hAnsi="仿宋_GB2312" w:eastAsia="仿宋_GB2312" w:cs="仿宋_GB2312"/>
          <w:sz w:val="32"/>
          <w:szCs w:val="32"/>
        </w:rPr>
        <w:t>各1份</w:t>
      </w:r>
      <w:r>
        <w:rPr>
          <w:rFonts w:hint="eastAsia" w:ascii="仿宋_GB2312" w:hAnsi="仿宋_GB2312" w:eastAsia="仿宋_GB2312" w:cs="仿宋_GB2312"/>
          <w:spacing w:val="-3"/>
          <w:sz w:val="32"/>
          <w:szCs w:val="32"/>
        </w:rPr>
        <w:t>；2.</w:t>
      </w:r>
      <w:r>
        <w:rPr>
          <w:rFonts w:hint="eastAsia" w:ascii="仿宋_GB2312" w:hAnsi="仿宋_GB2312" w:eastAsia="仿宋_GB2312" w:cs="仿宋_GB2312"/>
          <w:sz w:val="32"/>
          <w:szCs w:val="32"/>
        </w:rPr>
        <w:t>现场检查笔录、现场</w:t>
      </w:r>
      <w:r>
        <w:rPr>
          <w:rFonts w:hint="eastAsia" w:ascii="仿宋_GB2312" w:hAnsi="仿宋_GB2312" w:eastAsia="仿宋_GB2312" w:cs="仿宋_GB2312"/>
          <w:sz w:val="32"/>
          <w:szCs w:val="32"/>
          <w:lang w:eastAsia="zh-CN"/>
        </w:rPr>
        <w:t>拍摄</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pacing w:val="-3"/>
          <w:sz w:val="32"/>
          <w:szCs w:val="32"/>
        </w:rPr>
        <w:t>；3.</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hAnsi="仿宋_GB2312" w:eastAsia="仿宋_GB2312" w:cs="仿宋_GB2312"/>
          <w:sz w:val="32"/>
          <w:szCs w:val="32"/>
          <w:lang w:val="en-US" w:eastAsia="zh-CN"/>
        </w:rPr>
        <w:t>当事人提供的涉案食品采购票据及供应商营业执照复印件1份</w:t>
      </w:r>
      <w:r>
        <w:rPr>
          <w:rFonts w:hint="eastAsia" w:ascii="仿宋_GB2312" w:hAnsi="仿宋_GB2312" w:eastAsia="仿宋_GB2312" w:cs="仿宋_GB2312"/>
          <w:spacing w:val="-3"/>
          <w:sz w:val="32"/>
          <w:szCs w:val="32"/>
        </w:rPr>
        <w:t>。</w:t>
      </w:r>
    </w:p>
    <w:p>
      <w:pPr>
        <w:keepNext w:val="0"/>
        <w:keepLines w:val="0"/>
        <w:pageBreakBefore w:val="0"/>
        <w:widowControl w:val="0"/>
        <w:kinsoku/>
        <w:wordWrap/>
        <w:overflowPunct/>
        <w:topLinePunct w:val="0"/>
        <w:autoSpaceDN/>
        <w:bidi w:val="0"/>
        <w:spacing w:line="500" w:lineRule="exact"/>
        <w:ind w:firstLine="629"/>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本局于2024年</w:t>
      </w:r>
      <w:r>
        <w:rPr>
          <w:rFonts w:hint="eastAsia" w:ascii="仿宋_GB2312" w:hAnsi="仿宋_GB2312" w:eastAsia="仿宋_GB2312" w:cs="仿宋_GB2312"/>
          <w:spacing w:val="-3"/>
          <w:sz w:val="32"/>
          <w:szCs w:val="32"/>
          <w:lang w:val="en-US" w:eastAsia="zh-CN"/>
        </w:rPr>
        <w:t>9</w:t>
      </w:r>
      <w:r>
        <w:rPr>
          <w:rFonts w:hint="eastAsia" w:ascii="仿宋_GB2312" w:hAnsi="仿宋_GB2312" w:eastAsia="仿宋_GB2312" w:cs="仿宋_GB2312"/>
          <w:spacing w:val="-3"/>
          <w:sz w:val="32"/>
          <w:szCs w:val="32"/>
        </w:rPr>
        <w:t>月2日向当事人依法送达了《莆田市市场监督管理局行政处罚告知书》（莆市监罚告</w:t>
      </w:r>
      <w:r>
        <w:rPr>
          <w:rFonts w:hint="eastAsia" w:ascii="仿宋_GB2312" w:hAnsi="仿宋_GB2312" w:eastAsia="仿宋_GB2312" w:cs="仿宋_GB2312"/>
          <w:kern w:val="1"/>
          <w:sz w:val="32"/>
          <w:szCs w:val="32"/>
        </w:rPr>
        <w:t>〔2024〕04030001</w:t>
      </w:r>
      <w:r>
        <w:rPr>
          <w:rFonts w:hint="eastAsia" w:ascii="仿宋_GB2312" w:hAnsi="仿宋_GB2312" w:eastAsia="仿宋_GB2312" w:cs="仿宋_GB2312"/>
          <w:spacing w:val="-3"/>
          <w:sz w:val="32"/>
          <w:szCs w:val="32"/>
        </w:rPr>
        <w:t>号），告知当事人拟作出行政处罚的事实、理由、依据、处罚内容及其依法享有陈述、申辩的权利。当事人在法定期限内未提出陈述申辩。</w:t>
      </w:r>
    </w:p>
    <w:p>
      <w:pPr>
        <w:keepNext w:val="0"/>
        <w:keepLines w:val="0"/>
        <w:pageBreakBefore w:val="0"/>
        <w:widowControl w:val="0"/>
        <w:kinsoku/>
        <w:wordWrap/>
        <w:overflowPunct/>
        <w:topLinePunct w:val="0"/>
        <w:autoSpaceDN/>
        <w:bidi w:val="0"/>
        <w:spacing w:line="500" w:lineRule="exact"/>
        <w:ind w:firstLine="629"/>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本局认为：</w:t>
      </w:r>
      <w:r>
        <w:rPr>
          <w:rFonts w:hint="eastAsia" w:ascii="仿宋_GB2312" w:hAnsi="仿宋" w:eastAsia="仿宋_GB2312" w:cs="Times New Roman"/>
          <w:sz w:val="32"/>
          <w:szCs w:val="32"/>
          <w:lang w:val="en-US" w:eastAsia="zh-CN" w:bidi="ar"/>
        </w:rPr>
        <w:t>当事人</w:t>
      </w:r>
      <w:r>
        <w:rPr>
          <w:rFonts w:hint="eastAsia" w:ascii="仿宋_GB2312" w:hAnsi="仿宋_GB2312" w:eastAsia="仿宋_GB2312" w:cs="仿宋_GB2312"/>
          <w:sz w:val="32"/>
          <w:szCs w:val="32"/>
        </w:rPr>
        <w:t>经营</w:t>
      </w:r>
      <w:r>
        <w:rPr>
          <w:rFonts w:hint="eastAsia" w:ascii="仿宋_GB2312" w:hAnsi="仿宋_GB2312" w:eastAsia="仿宋_GB2312" w:cs="仿宋_GB2312"/>
          <w:sz w:val="32"/>
          <w:szCs w:val="32"/>
          <w:lang w:eastAsia="zh-CN"/>
        </w:rPr>
        <w:t>过期</w:t>
      </w:r>
      <w:r>
        <w:rPr>
          <w:rFonts w:hint="eastAsia" w:ascii="仿宋_GB2312" w:hAnsi="仿宋_GB2312" w:eastAsia="仿宋_GB2312" w:cs="仿宋_GB2312"/>
          <w:sz w:val="32"/>
          <w:szCs w:val="32"/>
        </w:rPr>
        <w:t>食品的行为违反了《中华人民共和国食品安全法》第三十四条第(</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)项的规定，属经营超过</w:t>
      </w:r>
      <w:r>
        <w:rPr>
          <w:rFonts w:hint="eastAsia" w:ascii="仿宋_GB2312" w:hAnsi="仿宋_GB2312" w:eastAsia="仿宋_GB2312" w:cs="仿宋_GB2312"/>
          <w:sz w:val="32"/>
          <w:szCs w:val="32"/>
          <w:lang w:eastAsia="zh-CN"/>
        </w:rPr>
        <w:t>保质期</w:t>
      </w:r>
      <w:r>
        <w:rPr>
          <w:rFonts w:hint="eastAsia" w:ascii="仿宋_GB2312" w:hAnsi="仿宋_GB2312" w:eastAsia="仿宋_GB2312" w:cs="仿宋_GB2312"/>
          <w:sz w:val="32"/>
          <w:szCs w:val="32"/>
        </w:rPr>
        <w:t>食品的行为。</w:t>
      </w:r>
    </w:p>
    <w:p>
      <w:pPr>
        <w:keepNext w:val="0"/>
        <w:keepLines w:val="0"/>
        <w:pageBreakBefore w:val="0"/>
        <w:widowControl w:val="0"/>
        <w:kinsoku/>
        <w:wordWrap/>
        <w:overflowPunct/>
        <w:topLinePunct w:val="0"/>
        <w:autoSpaceDE/>
        <w:autoSpaceDN/>
        <w:bidi w:val="0"/>
        <w:snapToGrid/>
        <w:spacing w:line="500" w:lineRule="exact"/>
        <w:ind w:firstLine="627" w:firstLineChars="196"/>
        <w:jc w:val="left"/>
        <w:rPr>
          <w:rFonts w:hint="eastAsia" w:ascii="仿宋_GB2312" w:hAnsi="仿宋_GB2312" w:eastAsia="仿宋_GB2312"/>
          <w:sz w:val="32"/>
          <w:szCs w:val="32"/>
        </w:rPr>
      </w:pPr>
      <w:r>
        <w:rPr>
          <w:rFonts w:hint="eastAsia" w:ascii="仿宋_GB2312" w:hAnsi="仿宋_GB2312" w:eastAsia="仿宋_GB2312"/>
          <w:sz w:val="32"/>
          <w:szCs w:val="32"/>
        </w:rPr>
        <w:t>鉴于</w:t>
      </w:r>
      <w:r>
        <w:rPr>
          <w:rFonts w:hint="eastAsia" w:ascii="仿宋_GB2312" w:hAnsi="仿宋_GB2312" w:eastAsia="仿宋_GB2312"/>
          <w:sz w:val="32"/>
          <w:szCs w:val="32"/>
          <w:lang w:eastAsia="zh-CN"/>
        </w:rPr>
        <w:t>当事人</w:t>
      </w:r>
      <w:r>
        <w:rPr>
          <w:rFonts w:hint="eastAsia" w:ascii="仿宋_GB2312" w:hAnsi="仿宋_GB2312" w:eastAsia="仿宋_GB2312" w:cs="仿宋_GB2312"/>
          <w:sz w:val="32"/>
          <w:szCs w:val="32"/>
          <w:lang w:eastAsia="zh-CN"/>
        </w:rPr>
        <w:t>为个体工商户，初次被发现实施违法行为，</w:t>
      </w:r>
      <w:r>
        <w:rPr>
          <w:rFonts w:hint="eastAsia" w:ascii="仿宋_GB2312" w:hAnsi="仿宋" w:eastAsia="仿宋_GB2312" w:cs="Times New Roman"/>
          <w:sz w:val="32"/>
          <w:szCs w:val="32"/>
          <w:lang w:val="en-US" w:eastAsia="zh-CN" w:bidi="ar"/>
        </w:rPr>
        <w:t>能积极配合调查，如实陈述违法事实并主动提供证据材料，</w:t>
      </w:r>
      <w:r>
        <w:rPr>
          <w:rFonts w:hint="eastAsia" w:ascii="仿宋_GB2312" w:hAnsi="仿宋_GB2312" w:eastAsia="仿宋_GB2312" w:cs="仿宋_GB2312"/>
          <w:b w:val="0"/>
          <w:bCs w:val="0"/>
          <w:color w:val="auto"/>
          <w:sz w:val="32"/>
          <w:szCs w:val="32"/>
        </w:rPr>
        <w:t>履行了索证索票义务</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sz w:val="32"/>
          <w:szCs w:val="32"/>
          <w:lang w:eastAsia="zh-CN"/>
        </w:rPr>
        <w:t>且涉案食品</w:t>
      </w:r>
      <w:r>
        <w:rPr>
          <w:rFonts w:hint="eastAsia" w:ascii="仿宋_GB2312" w:hAnsi="仿宋_GB2312" w:eastAsia="仿宋_GB2312" w:cs="仿宋_GB2312"/>
          <w:sz w:val="32"/>
          <w:szCs w:val="32"/>
        </w:rPr>
        <w:t>货值金额</w:t>
      </w:r>
      <w:r>
        <w:rPr>
          <w:rFonts w:hint="eastAsia" w:ascii="仿宋_GB2312" w:hAnsi="仿宋_GB2312" w:eastAsia="仿宋_GB2312" w:cs="仿宋_GB2312"/>
          <w:sz w:val="32"/>
          <w:szCs w:val="32"/>
          <w:lang w:eastAsia="zh-CN"/>
        </w:rPr>
        <w:t>较小，未造成食品安全事故等实际危害后果</w:t>
      </w:r>
      <w:r>
        <w:rPr>
          <w:rFonts w:hint="eastAsia" w:ascii="仿宋_GB2312" w:hAnsi="仿宋" w:eastAsia="仿宋_GB2312" w:cs="Times New Roman"/>
          <w:sz w:val="32"/>
          <w:szCs w:val="32"/>
          <w:lang w:val="en-US" w:eastAsia="zh-CN" w:bidi="ar"/>
        </w:rPr>
        <w:t>，</w:t>
      </w:r>
      <w:r>
        <w:rPr>
          <w:rFonts w:hint="eastAsia" w:ascii="仿宋_GB2312" w:hAnsi="仿宋_GB2312" w:eastAsia="仿宋_GB2312"/>
          <w:sz w:val="32"/>
          <w:szCs w:val="32"/>
        </w:rPr>
        <w:t>本局</w:t>
      </w:r>
      <w:r>
        <w:rPr>
          <w:rFonts w:hint="eastAsia" w:ascii="仿宋_GB2312" w:hAnsi="仿宋_GB2312" w:eastAsia="仿宋_GB2312"/>
          <w:sz w:val="32"/>
          <w:szCs w:val="32"/>
          <w:lang w:eastAsia="zh-CN"/>
        </w:rPr>
        <w:t>决定</w:t>
      </w:r>
      <w:r>
        <w:rPr>
          <w:rFonts w:hint="eastAsia" w:ascii="仿宋_GB2312" w:hAnsi="仿宋_GB2312" w:eastAsia="仿宋_GB2312"/>
          <w:sz w:val="32"/>
          <w:szCs w:val="32"/>
        </w:rPr>
        <w:t>予以</w:t>
      </w:r>
      <w:r>
        <w:rPr>
          <w:rFonts w:hint="eastAsia" w:ascii="仿宋_GB2312" w:hAnsi="仿宋_GB2312" w:eastAsia="仿宋_GB2312"/>
          <w:sz w:val="32"/>
          <w:szCs w:val="32"/>
          <w:lang w:eastAsia="zh-CN"/>
        </w:rPr>
        <w:t>减轻</w:t>
      </w:r>
      <w:r>
        <w:rPr>
          <w:rFonts w:hint="eastAsia" w:ascii="仿宋_GB2312" w:hAnsi="仿宋_GB2312" w:eastAsia="仿宋_GB2312"/>
          <w:sz w:val="32"/>
          <w:szCs w:val="32"/>
        </w:rPr>
        <w:t>处罚。</w:t>
      </w:r>
    </w:p>
    <w:p>
      <w:pPr>
        <w:keepNext w:val="0"/>
        <w:keepLines w:val="0"/>
        <w:pageBreakBefore w:val="0"/>
        <w:widowControl w:val="0"/>
        <w:kinsoku/>
        <w:wordWrap/>
        <w:overflowPunct/>
        <w:topLinePunct w:val="0"/>
        <w:autoSpaceDN/>
        <w:bidi w:val="0"/>
        <w:spacing w:line="500" w:lineRule="exact"/>
        <w:ind w:firstLine="640" w:firstLineChars="200"/>
        <w:rPr>
          <w:rFonts w:hint="eastAsia" w:ascii="仿宋_GB2312" w:eastAsia="仿宋_GB2312" w:cs="仿宋_GB2312"/>
          <w:sz w:val="32"/>
          <w:szCs w:val="32"/>
        </w:rPr>
      </w:pPr>
      <w:r>
        <w:rPr>
          <w:rFonts w:hint="eastAsia" w:ascii="仿宋_GB2312" w:hAnsi="仿宋_GB2312" w:eastAsia="仿宋_GB2312" w:cs="仿宋_GB2312"/>
          <w:sz w:val="32"/>
          <w:szCs w:val="32"/>
        </w:rPr>
        <w:t>依据《中华人民共和国行政处罚法》第</w:t>
      </w:r>
      <w:r>
        <w:rPr>
          <w:rFonts w:hint="eastAsia" w:ascii="仿宋_GB2312" w:hAnsi="仿宋_GB2312" w:eastAsia="仿宋_GB2312" w:cs="仿宋_GB2312"/>
          <w:sz w:val="32"/>
          <w:szCs w:val="32"/>
          <w:lang w:eastAsia="zh-CN"/>
        </w:rPr>
        <w:t>二十八</w:t>
      </w:r>
      <w:r>
        <w:rPr>
          <w:rFonts w:hint="eastAsia" w:ascii="仿宋_GB2312" w:hAnsi="仿宋_GB2312" w:eastAsia="仿宋_GB2312" w:cs="仿宋_GB2312"/>
          <w:sz w:val="32"/>
          <w:szCs w:val="32"/>
          <w:lang w:val="en-US" w:eastAsia="zh-CN"/>
        </w:rPr>
        <w:t>条、三十二条，</w:t>
      </w:r>
      <w:r>
        <w:rPr>
          <w:rFonts w:hint="eastAsia" w:ascii="仿宋_GB2312" w:hAnsi="仿宋_GB2312" w:eastAsia="仿宋_GB2312" w:cs="仿宋_GB2312"/>
          <w:sz w:val="32"/>
          <w:szCs w:val="32"/>
        </w:rPr>
        <w:t>《中华人民共和国食品安全法》第一百</w:t>
      </w:r>
      <w:r>
        <w:rPr>
          <w:rFonts w:hint="eastAsia" w:ascii="仿宋_GB2312" w:hAnsi="仿宋_GB2312" w:eastAsia="仿宋_GB2312" w:cs="仿宋_GB2312"/>
          <w:sz w:val="32"/>
          <w:szCs w:val="32"/>
          <w:lang w:eastAsia="zh-CN"/>
        </w:rPr>
        <w:t>二十四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第一款第（五）项规定</w:t>
      </w:r>
      <w:r>
        <w:rPr>
          <w:rFonts w:hint="eastAsia" w:ascii="仿宋_GB2312" w:hAnsi="仿宋" w:eastAsia="仿宋_GB2312"/>
          <w:sz w:val="32"/>
          <w:szCs w:val="32"/>
        </w:rPr>
        <w:t>，</w:t>
      </w:r>
      <w:r>
        <w:rPr>
          <w:rFonts w:hint="eastAsia" w:ascii="仿宋_GB2312" w:eastAsia="仿宋_GB2312" w:cs="仿宋_GB2312"/>
          <w:sz w:val="32"/>
          <w:szCs w:val="32"/>
        </w:rPr>
        <w:t>本局决定责令当事人改正上述违法行为，并作如下行政处罚:</w:t>
      </w:r>
    </w:p>
    <w:p>
      <w:pPr>
        <w:keepNext w:val="0"/>
        <w:keepLines w:val="0"/>
        <w:pageBreakBefore w:val="0"/>
        <w:widowControl w:val="0"/>
        <w:suppressLineNumbers w:val="0"/>
        <w:kinsoku/>
        <w:wordWrap/>
        <w:overflowPunct/>
        <w:topLinePunct w:val="0"/>
        <w:autoSpaceDN/>
        <w:bidi w:val="0"/>
        <w:adjustRightInd w:val="0"/>
        <w:spacing w:before="0" w:beforeAutospacing="0" w:after="0" w:afterAutospacing="0" w:line="50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没收涉案</w:t>
      </w:r>
      <w:r>
        <w:rPr>
          <w:rFonts w:hint="eastAsia" w:ascii="仿宋_GB2312" w:hAnsi="仿宋_GB2312" w:eastAsia="仿宋_GB2312" w:cs="仿宋_GB2312"/>
          <w:sz w:val="32"/>
          <w:szCs w:val="32"/>
          <w:lang w:eastAsia="zh-CN"/>
        </w:rPr>
        <w:t>过期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4瓶</w:t>
      </w:r>
      <w:r>
        <w:rPr>
          <w:rFonts w:hint="eastAsia" w:ascii="仿宋_GB2312" w:hAnsi="仿宋_GB2312" w:eastAsia="仿宋_GB2312" w:cs="仿宋_GB2312"/>
          <w:sz w:val="32"/>
          <w:szCs w:val="32"/>
          <w:lang w:eastAsia="zh-CN"/>
        </w:rPr>
        <w:t>脉动青柠味维生素饮料、2瓶脉动桃子味维生素饮料、</w:t>
      </w:r>
      <w:r>
        <w:rPr>
          <w:rFonts w:hint="eastAsia" w:ascii="仿宋_GB2312" w:hAnsi="仿宋_GB2312" w:eastAsia="仿宋_GB2312" w:cs="仿宋_GB2312"/>
          <w:sz w:val="32"/>
          <w:szCs w:val="32"/>
          <w:lang w:val="en-US" w:eastAsia="zh-CN"/>
        </w:rPr>
        <w:t>5桶康师傅香辣牛肉面（大食桶）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并处罚款人民币</w:t>
      </w:r>
      <w:r>
        <w:rPr>
          <w:rFonts w:hint="eastAsia" w:ascii="仿宋_GB2312" w:hAnsi="仿宋_GB2312" w:eastAsia="仿宋_GB2312" w:cs="仿宋_GB2312"/>
          <w:sz w:val="32"/>
          <w:szCs w:val="32"/>
          <w:lang w:val="en-US" w:eastAsia="zh-CN"/>
        </w:rPr>
        <w:t>6512</w:t>
      </w:r>
      <w:r>
        <w:rPr>
          <w:rFonts w:hint="eastAsia" w:ascii="仿宋_GB2312" w:hAnsi="仿宋_GB2312" w:eastAsia="仿宋_GB2312" w:cs="仿宋_GB2312"/>
          <w:sz w:val="32"/>
          <w:szCs w:val="32"/>
        </w:rPr>
        <w:t>元，上缴国库。</w:t>
      </w:r>
    </w:p>
    <w:p>
      <w:pPr>
        <w:keepNext w:val="0"/>
        <w:keepLines w:val="0"/>
        <w:pageBreakBefore w:val="0"/>
        <w:widowControl w:val="0"/>
        <w:kinsoku/>
        <w:wordWrap/>
        <w:overflowPunct/>
        <w:topLinePunct w:val="0"/>
        <w:autoSpaceDN/>
        <w:bidi w:val="0"/>
        <w:spacing w:line="500" w:lineRule="exact"/>
        <w:ind w:firstLine="628" w:firstLineChars="200"/>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N/>
        <w:bidi w:val="0"/>
        <w:spacing w:line="500" w:lineRule="exact"/>
        <w:ind w:firstLine="629"/>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keepNext w:val="0"/>
        <w:keepLines w:val="0"/>
        <w:pageBreakBefore w:val="0"/>
        <w:widowControl w:val="0"/>
        <w:kinsoku/>
        <w:wordWrap/>
        <w:overflowPunct/>
        <w:topLinePunct w:val="0"/>
        <w:autoSpaceDN/>
        <w:bidi w:val="0"/>
        <w:spacing w:line="500" w:lineRule="exact"/>
        <w:ind w:firstLine="629"/>
        <w:rPr>
          <w:rFonts w:hint="eastAsia"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188595</wp:posOffset>
            </wp:positionH>
            <wp:positionV relativeFrom="paragraph">
              <wp:posOffset>162560</wp:posOffset>
            </wp:positionV>
            <wp:extent cx="1457325" cy="2053590"/>
            <wp:effectExtent l="0" t="0" r="9525" b="3810"/>
            <wp:wrapNone/>
            <wp:docPr id="1"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9702658a80015925c07d31c1c0e389f"/>
                    <pic:cNvPicPr>
                      <a:picLocks noChangeAspect="1"/>
                    </pic:cNvPicPr>
                  </pic:nvPicPr>
                  <pic:blipFill>
                    <a:blip r:embed="rId6"/>
                    <a:stretch>
                      <a:fillRect/>
                    </a:stretch>
                  </pic:blipFill>
                  <pic:spPr>
                    <a:xfrm>
                      <a:off x="0" y="0"/>
                      <a:ext cx="1457325" cy="2053590"/>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keepNext w:val="0"/>
        <w:keepLines w:val="0"/>
        <w:pageBreakBefore w:val="0"/>
        <w:widowControl w:val="0"/>
        <w:kinsoku/>
        <w:wordWrap/>
        <w:overflowPunct/>
        <w:topLinePunct w:val="0"/>
        <w:autoSpaceDN/>
        <w:bidi w:val="0"/>
        <w:spacing w:line="50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spacing w:line="50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N/>
        <w:bidi w:val="0"/>
        <w:spacing w:line="500" w:lineRule="exact"/>
        <w:ind w:firstLine="629"/>
        <w:rPr>
          <w:rFonts w:hint="eastAsia" w:ascii="仿宋_GB2312" w:eastAsia="仿宋_GB2312"/>
          <w:sz w:val="32"/>
          <w:szCs w:val="32"/>
        </w:rPr>
      </w:pPr>
    </w:p>
    <w:p>
      <w:pPr>
        <w:keepNext w:val="0"/>
        <w:keepLines w:val="0"/>
        <w:pageBreakBefore w:val="0"/>
        <w:widowControl w:val="0"/>
        <w:kinsoku/>
        <w:wordWrap/>
        <w:overflowPunct/>
        <w:topLinePunct w:val="0"/>
        <w:autoSpaceDN/>
        <w:bidi w:val="0"/>
        <w:spacing w:line="50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莆田市市场监督管理局    </w:t>
      </w:r>
    </w:p>
    <w:p>
      <w:pPr>
        <w:keepNext w:val="0"/>
        <w:keepLines w:val="0"/>
        <w:pageBreakBefore w:val="0"/>
        <w:widowControl w:val="0"/>
        <w:tabs>
          <w:tab w:val="left" w:pos="8058"/>
        </w:tabs>
        <w:kinsoku/>
        <w:wordWrap/>
        <w:overflowPunct/>
        <w:topLinePunct w:val="0"/>
        <w:autoSpaceDN/>
        <w:bidi w:val="0"/>
        <w:spacing w:line="50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2024</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9</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13</w:t>
      </w:r>
      <w:r>
        <w:rPr>
          <w:rFonts w:hint="eastAsia" w:ascii="仿宋_GB2312" w:hAnsi="仿宋_GB2312" w:eastAsia="仿宋_GB2312" w:cs="仿宋_GB2312"/>
          <w:spacing w:val="-3"/>
          <w:sz w:val="32"/>
          <w:szCs w:val="32"/>
        </w:rPr>
        <w:t>日</w:t>
      </w:r>
    </w:p>
    <w:p>
      <w:pPr>
        <w:keepNext w:val="0"/>
        <w:keepLines w:val="0"/>
        <w:pageBreakBefore w:val="0"/>
        <w:widowControl w:val="0"/>
        <w:tabs>
          <w:tab w:val="left" w:pos="8058"/>
        </w:tabs>
        <w:kinsoku/>
        <w:wordWrap/>
        <w:overflowPunct/>
        <w:topLinePunct w:val="0"/>
        <w:autoSpaceDN/>
        <w:bidi w:val="0"/>
        <w:spacing w:line="500" w:lineRule="exact"/>
        <w:ind w:right="785" w:rightChars="374"/>
        <w:jc w:val="center"/>
        <w:rPr>
          <w:rFonts w:hint="eastAsia" w:ascii="仿宋_GB2312" w:hAnsi="仿宋_GB2312" w:eastAsia="仿宋_GB2312" w:cs="仿宋_GB2312"/>
          <w:spacing w:val="-3"/>
          <w:sz w:val="32"/>
          <w:szCs w:val="32"/>
        </w:rPr>
      </w:pPr>
    </w:p>
    <w:p>
      <w:pPr>
        <w:autoSpaceDE w:val="0"/>
        <w:spacing w:line="480" w:lineRule="exact"/>
        <w:jc w:val="center"/>
        <w:rPr>
          <w:rFonts w:ascii="黑体" w:hAnsi="黑体" w:eastAsia="黑体"/>
          <w:sz w:val="28"/>
          <w:szCs w:val="28"/>
        </w:rPr>
      </w:pPr>
      <w:r>
        <w:rPr>
          <w:rFonts w:hint="eastAsia" w:ascii="黑体" w:hAnsi="黑体" w:eastAsia="黑体" w:cs="黑体"/>
          <w:sz w:val="30"/>
          <w:szCs w:val="30"/>
        </w:rPr>
        <w:t>（市场监督管理部门将依法向社会公示本行政处罚决定信息）</w:t>
      </w:r>
    </w:p>
    <w:p>
      <w:pPr>
        <w:spacing w:line="520" w:lineRule="exact"/>
        <w:rPr>
          <w:rFonts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0Z9dUAAAAHAQAADwAAAAAAAAABACAAAAAiAAAAZHJz&#10;L2Rvd25yZXYueG1sUEsBAhQAFAAAAAgAh07iQK8zkSXOAQAAkAMAAA4AAAAAAAAAAQAgAAAAJAEA&#10;AGRycy9lMm9Eb2MueG1sUEsFBgAAAAAGAAYAWQEAAGQFAAAAAA==&#10;">
                <v:fill on="f" focussize="0,0"/>
                <v:stroke weight="1.25pt" color="#000000" joinstyle="round"/>
                <v:imagedata o:title=""/>
                <o:lock v:ext="edit" aspectratio="f"/>
              </v:line>
            </w:pict>
          </mc:Fallback>
        </mc:AlternateContent>
      </w:r>
    </w:p>
    <w:p>
      <w:pPr>
        <w:tabs>
          <w:tab w:val="left" w:pos="8848"/>
        </w:tabs>
        <w:spacing w:line="520" w:lineRule="exact"/>
        <w:ind w:right="-2" w:rightChars="-1"/>
        <w:jc w:val="right"/>
        <w:rPr>
          <w:rFonts w:hint="eastAsia" w:ascii="仿宋_GB2312" w:hAnsi="仿宋_GB2312" w:eastAsia="仿宋_GB2312"/>
          <w:spacing w:val="-3"/>
          <w:sz w:val="32"/>
          <w:szCs w:val="32"/>
        </w:rPr>
        <w:sectPr>
          <w:footerReference r:id="rId3" w:type="default"/>
          <w:pgSz w:w="11906" w:h="16838"/>
          <w:pgMar w:top="1417" w:right="1474" w:bottom="1134" w:left="1474" w:header="851" w:footer="1418" w:gutter="0"/>
          <w:cols w:space="720" w:num="1"/>
          <w:docGrid w:type="line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线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n6FLnSAQAAjgMAAA4AAAAAAAAAAQAg&#10;AAAAJgEAAGRycy9lMm9Eb2MueG1sUEsFBgAAAAAGAAYAWQEAAGoFA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spacing w:line="520" w:lineRule="exact"/>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keepNext w:val="0"/>
        <w:keepLines w:val="0"/>
        <w:pageBreakBefore w:val="0"/>
        <w:widowControl w:val="0"/>
        <w:kinsoku/>
        <w:wordWrap/>
        <w:overflowPunct/>
        <w:topLinePunct w:val="0"/>
        <w:autoSpaceDE/>
        <w:autoSpaceDN/>
        <w:bidi w:val="0"/>
        <w:adjustRightInd w:val="0"/>
        <w:snapToGrid/>
        <w:spacing w:line="400" w:lineRule="exact"/>
        <w:ind w:firstLine="643" w:firstLineChars="200"/>
        <w:textAlignment w:val="baseline"/>
        <w:rPr>
          <w:rFonts w:hint="eastAsia" w:ascii="仿宋_GB2312" w:hAnsi="宋体" w:eastAsia="仿宋_GB2312"/>
          <w:b/>
          <w:sz w:val="32"/>
          <w:szCs w:val="32"/>
        </w:rPr>
      </w:pPr>
      <w:r>
        <w:rPr>
          <w:rFonts w:hint="eastAsia" w:ascii="仿宋_GB2312" w:hAnsi="宋体" w:eastAsia="仿宋_GB2312"/>
          <w:b/>
          <w:sz w:val="32"/>
          <w:szCs w:val="32"/>
        </w:rPr>
        <w:t>《中华人民共和国食品安全法》第三十四条第一款第（十）项：</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禁止生产经营下列食品、食品添加剂、食品相关产品：</w:t>
      </w:r>
    </w:p>
    <w:p>
      <w:pPr>
        <w:keepNext w:val="0"/>
        <w:keepLines w:val="0"/>
        <w:pageBreakBefore w:val="0"/>
        <w:widowControl w:val="0"/>
        <w:numPr>
          <w:ilvl w:val="0"/>
          <w:numId w:val="1"/>
        </w:numPr>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 xml:space="preserve">标注虚假生产日期、保质期或者超过保质期的食品、食品添加剂； </w:t>
      </w:r>
    </w:p>
    <w:p>
      <w:pPr>
        <w:keepNext w:val="0"/>
        <w:keepLines w:val="0"/>
        <w:pageBreakBefore w:val="0"/>
        <w:widowControl w:val="0"/>
        <w:kinsoku/>
        <w:wordWrap/>
        <w:overflowPunct/>
        <w:topLinePunct w:val="0"/>
        <w:autoSpaceDE/>
        <w:autoSpaceDN/>
        <w:bidi w:val="0"/>
        <w:adjustRightInd w:val="0"/>
        <w:snapToGrid/>
        <w:spacing w:line="400" w:lineRule="exact"/>
        <w:ind w:firstLine="643" w:firstLineChars="200"/>
        <w:textAlignment w:val="baseline"/>
        <w:rPr>
          <w:rFonts w:hint="eastAsia" w:ascii="仿宋_GB2312" w:hAnsi="宋体" w:eastAsia="仿宋_GB2312"/>
          <w:b/>
          <w:sz w:val="32"/>
          <w:szCs w:val="32"/>
        </w:rPr>
      </w:pPr>
      <w:r>
        <w:rPr>
          <w:rFonts w:hint="eastAsia" w:ascii="仿宋_GB2312" w:hAnsi="宋体" w:eastAsia="仿宋_GB2312"/>
          <w:b/>
          <w:sz w:val="32"/>
          <w:szCs w:val="32"/>
        </w:rPr>
        <w:t>《中华人民共和国食品安全法》第一百二十四条第一款第（五）项：</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（五）生产经营标注虚假生产日期、保质期或者超过保质期的食品、食品添加剂；</w:t>
      </w:r>
    </w:p>
    <w:p>
      <w:pPr>
        <w:keepNext w:val="0"/>
        <w:keepLines w:val="0"/>
        <w:pageBreakBefore w:val="0"/>
        <w:widowControl w:val="0"/>
        <w:kinsoku/>
        <w:wordWrap/>
        <w:overflowPunct/>
        <w:topLinePunct w:val="0"/>
        <w:autoSpaceDE/>
        <w:autoSpaceDN/>
        <w:bidi w:val="0"/>
        <w:adjustRightInd w:val="0"/>
        <w:snapToGrid/>
        <w:spacing w:line="400" w:lineRule="exact"/>
        <w:ind w:firstLine="643" w:firstLineChars="200"/>
        <w:textAlignment w:val="baseline"/>
        <w:rPr>
          <w:rFonts w:hint="eastAsia" w:ascii="仿宋_GB2312" w:hAnsi="仿宋" w:eastAsia="仿宋_GB2312"/>
          <w:b/>
          <w:sz w:val="32"/>
          <w:szCs w:val="32"/>
        </w:rPr>
      </w:pPr>
      <w:r>
        <w:rPr>
          <w:rFonts w:hint="eastAsia" w:ascii="仿宋_GB2312" w:hAnsi="宋体" w:eastAsia="仿宋_GB2312" w:cs="Times New Roman"/>
          <w:b/>
          <w:sz w:val="32"/>
          <w:szCs w:val="32"/>
        </w:rPr>
        <w:t>《中华人民共和国行政处罚法》第二十八条：</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行政机关实施行政处罚时，应当责令当事人改正或者限期改正违法行为。</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仿宋" w:eastAsia="仿宋_GB2312"/>
          <w:sz w:val="32"/>
          <w:szCs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E/>
        <w:autoSpaceDN/>
        <w:bidi w:val="0"/>
        <w:adjustRightInd w:val="0"/>
        <w:snapToGrid/>
        <w:spacing w:line="40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《中华人民共和国行政处罚法》第三十二条：</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当事人有下列情形之一，应当从轻或者减轻行政处罚：</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（一）主动消除或者减轻违法行为危害后果的；</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（二）受他人胁迫或者诱骗实施违法行为的；</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（三）主动供述行政机关尚未掌握的违法行为的；</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（四）配合行政机关查处违法行为有立功表现的；</w:t>
      </w:r>
    </w:p>
    <w:p>
      <w:pPr>
        <w:keepNext w:val="0"/>
        <w:keepLines w:val="0"/>
        <w:pageBreakBefore w:val="0"/>
        <w:widowControl w:val="0"/>
        <w:kinsoku/>
        <w:wordWrap/>
        <w:overflowPunct/>
        <w:topLinePunct w:val="0"/>
        <w:autoSpaceDE/>
        <w:autoSpaceDN/>
        <w:bidi w:val="0"/>
        <w:adjustRightInd w:val="0"/>
        <w:snapToGrid/>
        <w:spacing w:line="400" w:lineRule="exact"/>
        <w:ind w:firstLine="640" w:firstLineChars="200"/>
        <w:textAlignment w:val="baseline"/>
        <w:rPr>
          <w:rFonts w:hint="eastAsia" w:ascii="仿宋_GB2312" w:hAnsi="宋体" w:eastAsia="仿宋_GB2312" w:cs="Times New Roman"/>
          <w:sz w:val="32"/>
          <w:szCs w:val="32"/>
        </w:rPr>
      </w:pPr>
      <w:r>
        <w:rPr>
          <w:rFonts w:hint="eastAsia" w:ascii="仿宋_GB2312" w:hAnsi="宋体" w:eastAsia="仿宋_GB2312" w:cs="Times New Roman"/>
          <w:sz w:val="32"/>
          <w:szCs w:val="32"/>
        </w:rPr>
        <w:t>（五）法律、法规、规章规定其他应当从轻或者减轻行政处罚的</w:t>
      </w:r>
    </w:p>
    <w:p>
      <w:pPr>
        <w:autoSpaceDE w:val="0"/>
        <w:spacing w:line="480" w:lineRule="exact"/>
        <w:ind w:firstLine="420" w:firstLineChars="200"/>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388"/>
        <w:tab w:val="center" w:pos="4539"/>
      </w:tabs>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0</wp:posOffset>
              </wp:positionV>
              <wp:extent cx="1156335" cy="230505"/>
              <wp:effectExtent l="0" t="0" r="0" b="0"/>
              <wp:wrapNone/>
              <wp:docPr id="4"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3</w:t>
                          </w:r>
                          <w:r>
                            <w:rPr>
                              <w:rStyle w:val="10"/>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left:170.85pt;margin-top:0pt;height:18.15pt;width:91.05pt;mso-position-horizontal-relative:margin;mso-wrap-style:none;z-index:251659264;mso-width-relative:page;mso-height-relative:page;" filled="f" stroked="f" coordsize="21600,21600" o:gfxdata="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dcfAD1AAAAAcB&#10;AAAPAAAAAAAAAAEAIAAAACIAAABkcnMvZG93bnJldi54bWxQSwECFAAUAAAACACHTuJAxd5rqq0B&#10;AAA/AwAADgAAAAAAAAABACAAAAAjAQAAZHJzL2Uyb0RvYy54bWxQSwUGAAAAAAYABgBZAQAAQgUA&#10;AA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3</w:t>
                    </w:r>
                    <w:r>
                      <w:rPr>
                        <w:rStyle w:val="10"/>
                        <w:rFonts w:hint="eastAsia" w:ascii="宋体" w:hAnsi="宋体"/>
                        <w:sz w:val="28"/>
                        <w:szCs w:val="28"/>
                      </w:rPr>
                      <w:t>页</w:t>
                    </w:r>
                  </w:p>
                </w:txbxContent>
              </v:textbox>
            </v:rect>
          </w:pict>
        </mc:Fallback>
      </mc:AlternateContent>
    </w: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14F34"/>
    <w:multiLevelType w:val="singleLevel"/>
    <w:tmpl w:val="E8014F34"/>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40061"/>
    <w:rsid w:val="00042902"/>
    <w:rsid w:val="00055ADF"/>
    <w:rsid w:val="00061900"/>
    <w:rsid w:val="000673D2"/>
    <w:rsid w:val="00067C9A"/>
    <w:rsid w:val="000762A2"/>
    <w:rsid w:val="00076A36"/>
    <w:rsid w:val="00092E13"/>
    <w:rsid w:val="0009656A"/>
    <w:rsid w:val="000A038E"/>
    <w:rsid w:val="000A19FD"/>
    <w:rsid w:val="000A2C26"/>
    <w:rsid w:val="000E1196"/>
    <w:rsid w:val="000E6F12"/>
    <w:rsid w:val="00100B25"/>
    <w:rsid w:val="00102FEB"/>
    <w:rsid w:val="00122D75"/>
    <w:rsid w:val="00136B5E"/>
    <w:rsid w:val="0015214D"/>
    <w:rsid w:val="0015284F"/>
    <w:rsid w:val="001544B0"/>
    <w:rsid w:val="00160674"/>
    <w:rsid w:val="001621CB"/>
    <w:rsid w:val="0016381F"/>
    <w:rsid w:val="0016531F"/>
    <w:rsid w:val="0017585B"/>
    <w:rsid w:val="001937BD"/>
    <w:rsid w:val="001A651E"/>
    <w:rsid w:val="001B0B2F"/>
    <w:rsid w:val="001B5F59"/>
    <w:rsid w:val="001B78AA"/>
    <w:rsid w:val="001B78B7"/>
    <w:rsid w:val="001C55A7"/>
    <w:rsid w:val="001D2399"/>
    <w:rsid w:val="001D4CAC"/>
    <w:rsid w:val="001E3D4C"/>
    <w:rsid w:val="001E7D77"/>
    <w:rsid w:val="001F28A3"/>
    <w:rsid w:val="002036F8"/>
    <w:rsid w:val="0022086B"/>
    <w:rsid w:val="00220AF4"/>
    <w:rsid w:val="00227DB9"/>
    <w:rsid w:val="00244875"/>
    <w:rsid w:val="00245EF2"/>
    <w:rsid w:val="00262994"/>
    <w:rsid w:val="00265423"/>
    <w:rsid w:val="002673A0"/>
    <w:rsid w:val="00271341"/>
    <w:rsid w:val="00290DB2"/>
    <w:rsid w:val="00294891"/>
    <w:rsid w:val="002956EA"/>
    <w:rsid w:val="002A1B58"/>
    <w:rsid w:val="002A27C9"/>
    <w:rsid w:val="002B1FB7"/>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6A94"/>
    <w:rsid w:val="003F78B3"/>
    <w:rsid w:val="00401B48"/>
    <w:rsid w:val="0040225D"/>
    <w:rsid w:val="00414DD9"/>
    <w:rsid w:val="00425782"/>
    <w:rsid w:val="00425B94"/>
    <w:rsid w:val="00434833"/>
    <w:rsid w:val="0044068A"/>
    <w:rsid w:val="00452974"/>
    <w:rsid w:val="0046297B"/>
    <w:rsid w:val="00476B98"/>
    <w:rsid w:val="004A3873"/>
    <w:rsid w:val="004A49BA"/>
    <w:rsid w:val="004A6FDE"/>
    <w:rsid w:val="004B03FE"/>
    <w:rsid w:val="004B5CE2"/>
    <w:rsid w:val="004C141D"/>
    <w:rsid w:val="004C2EC8"/>
    <w:rsid w:val="004C7F9E"/>
    <w:rsid w:val="004E06FB"/>
    <w:rsid w:val="004E3E19"/>
    <w:rsid w:val="004E6560"/>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4E60"/>
    <w:rsid w:val="00615B67"/>
    <w:rsid w:val="00623F45"/>
    <w:rsid w:val="00631491"/>
    <w:rsid w:val="00640D7F"/>
    <w:rsid w:val="00644482"/>
    <w:rsid w:val="00660E18"/>
    <w:rsid w:val="00665C8A"/>
    <w:rsid w:val="00680F35"/>
    <w:rsid w:val="006845A7"/>
    <w:rsid w:val="00685FDE"/>
    <w:rsid w:val="00690D53"/>
    <w:rsid w:val="006B2415"/>
    <w:rsid w:val="006D56C2"/>
    <w:rsid w:val="006E4499"/>
    <w:rsid w:val="006E5896"/>
    <w:rsid w:val="006F41AF"/>
    <w:rsid w:val="0070442A"/>
    <w:rsid w:val="007076E0"/>
    <w:rsid w:val="007201E5"/>
    <w:rsid w:val="007217D2"/>
    <w:rsid w:val="00730756"/>
    <w:rsid w:val="00741C5F"/>
    <w:rsid w:val="00751F40"/>
    <w:rsid w:val="00753B9F"/>
    <w:rsid w:val="0075663F"/>
    <w:rsid w:val="007613F5"/>
    <w:rsid w:val="0076309F"/>
    <w:rsid w:val="0077092F"/>
    <w:rsid w:val="00774D53"/>
    <w:rsid w:val="00796C74"/>
    <w:rsid w:val="007B40F7"/>
    <w:rsid w:val="007C0B11"/>
    <w:rsid w:val="007D1080"/>
    <w:rsid w:val="007D1DCA"/>
    <w:rsid w:val="007D27B5"/>
    <w:rsid w:val="007D3F9B"/>
    <w:rsid w:val="007F1631"/>
    <w:rsid w:val="007F2A70"/>
    <w:rsid w:val="00802478"/>
    <w:rsid w:val="008170DF"/>
    <w:rsid w:val="0083102C"/>
    <w:rsid w:val="00834233"/>
    <w:rsid w:val="008415C5"/>
    <w:rsid w:val="008433B9"/>
    <w:rsid w:val="008450FE"/>
    <w:rsid w:val="0085433E"/>
    <w:rsid w:val="008602ED"/>
    <w:rsid w:val="00874CA8"/>
    <w:rsid w:val="008775F6"/>
    <w:rsid w:val="008809A8"/>
    <w:rsid w:val="00882FC4"/>
    <w:rsid w:val="00884ECD"/>
    <w:rsid w:val="0089399F"/>
    <w:rsid w:val="008A3630"/>
    <w:rsid w:val="008B03CF"/>
    <w:rsid w:val="008B2B86"/>
    <w:rsid w:val="008D43D9"/>
    <w:rsid w:val="008D4AD0"/>
    <w:rsid w:val="008D51AE"/>
    <w:rsid w:val="00917A23"/>
    <w:rsid w:val="00920994"/>
    <w:rsid w:val="00922885"/>
    <w:rsid w:val="00927C56"/>
    <w:rsid w:val="00932791"/>
    <w:rsid w:val="00933A44"/>
    <w:rsid w:val="009428DB"/>
    <w:rsid w:val="009555F3"/>
    <w:rsid w:val="00957332"/>
    <w:rsid w:val="00960790"/>
    <w:rsid w:val="00964F56"/>
    <w:rsid w:val="00983F7F"/>
    <w:rsid w:val="00985A7D"/>
    <w:rsid w:val="00990DF3"/>
    <w:rsid w:val="0099526E"/>
    <w:rsid w:val="00997CC4"/>
    <w:rsid w:val="009A1FA2"/>
    <w:rsid w:val="009A291A"/>
    <w:rsid w:val="009A2C27"/>
    <w:rsid w:val="009A36EB"/>
    <w:rsid w:val="009A3D18"/>
    <w:rsid w:val="009A6872"/>
    <w:rsid w:val="009A6AA4"/>
    <w:rsid w:val="009A6AC5"/>
    <w:rsid w:val="009B461B"/>
    <w:rsid w:val="009C247F"/>
    <w:rsid w:val="009D2F42"/>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8550B"/>
    <w:rsid w:val="00A90B8D"/>
    <w:rsid w:val="00AA3C13"/>
    <w:rsid w:val="00AA4750"/>
    <w:rsid w:val="00AB05F0"/>
    <w:rsid w:val="00AC0822"/>
    <w:rsid w:val="00AC17A6"/>
    <w:rsid w:val="00AC3C1F"/>
    <w:rsid w:val="00AC6268"/>
    <w:rsid w:val="00AC7EFB"/>
    <w:rsid w:val="00AD4C43"/>
    <w:rsid w:val="00AE02FD"/>
    <w:rsid w:val="00AE2A4C"/>
    <w:rsid w:val="00B12E83"/>
    <w:rsid w:val="00B230DA"/>
    <w:rsid w:val="00B34E65"/>
    <w:rsid w:val="00B37A8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5A8C"/>
    <w:rsid w:val="00C17BFB"/>
    <w:rsid w:val="00C25E4F"/>
    <w:rsid w:val="00C32471"/>
    <w:rsid w:val="00C459C7"/>
    <w:rsid w:val="00C47DE6"/>
    <w:rsid w:val="00C51CEC"/>
    <w:rsid w:val="00C53AF3"/>
    <w:rsid w:val="00C53C8D"/>
    <w:rsid w:val="00C5637A"/>
    <w:rsid w:val="00C6250A"/>
    <w:rsid w:val="00C739D4"/>
    <w:rsid w:val="00C7467B"/>
    <w:rsid w:val="00C84D72"/>
    <w:rsid w:val="00C91469"/>
    <w:rsid w:val="00C97B47"/>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743F"/>
    <w:rsid w:val="00DB7F91"/>
    <w:rsid w:val="00DC0984"/>
    <w:rsid w:val="00DC3A0C"/>
    <w:rsid w:val="00DC3EDC"/>
    <w:rsid w:val="00DC4412"/>
    <w:rsid w:val="00DD01CE"/>
    <w:rsid w:val="00DE3773"/>
    <w:rsid w:val="00DF38A3"/>
    <w:rsid w:val="00E12E87"/>
    <w:rsid w:val="00E14022"/>
    <w:rsid w:val="00E15889"/>
    <w:rsid w:val="00E45661"/>
    <w:rsid w:val="00E5214C"/>
    <w:rsid w:val="00E53C99"/>
    <w:rsid w:val="00E65021"/>
    <w:rsid w:val="00E6741F"/>
    <w:rsid w:val="00E845E7"/>
    <w:rsid w:val="00E86C98"/>
    <w:rsid w:val="00E9385A"/>
    <w:rsid w:val="00E94C1C"/>
    <w:rsid w:val="00E95348"/>
    <w:rsid w:val="00EA2183"/>
    <w:rsid w:val="00EB3A6C"/>
    <w:rsid w:val="00EC6C67"/>
    <w:rsid w:val="00ED349D"/>
    <w:rsid w:val="00ED5635"/>
    <w:rsid w:val="00EF3AAD"/>
    <w:rsid w:val="00EF600E"/>
    <w:rsid w:val="00EF79EB"/>
    <w:rsid w:val="00F11C54"/>
    <w:rsid w:val="00F14DB9"/>
    <w:rsid w:val="00F155C9"/>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DBE"/>
    <w:rsid w:val="00FB3D29"/>
    <w:rsid w:val="00FC0261"/>
    <w:rsid w:val="00FC3DD8"/>
    <w:rsid w:val="00FC5E72"/>
    <w:rsid w:val="00FC6BAB"/>
    <w:rsid w:val="00FD737B"/>
    <w:rsid w:val="00FE5708"/>
    <w:rsid w:val="00FF58EF"/>
    <w:rsid w:val="02303B71"/>
    <w:rsid w:val="02E2669F"/>
    <w:rsid w:val="038D6376"/>
    <w:rsid w:val="0535501C"/>
    <w:rsid w:val="06032AA5"/>
    <w:rsid w:val="06A80041"/>
    <w:rsid w:val="07157FCA"/>
    <w:rsid w:val="08101815"/>
    <w:rsid w:val="082B14C3"/>
    <w:rsid w:val="0AD65A7A"/>
    <w:rsid w:val="0BBB2AD1"/>
    <w:rsid w:val="0C16330F"/>
    <w:rsid w:val="0E2355A8"/>
    <w:rsid w:val="12103EDC"/>
    <w:rsid w:val="148465FF"/>
    <w:rsid w:val="153E740E"/>
    <w:rsid w:val="1571032D"/>
    <w:rsid w:val="15DC7B10"/>
    <w:rsid w:val="19C35013"/>
    <w:rsid w:val="1A5D3A71"/>
    <w:rsid w:val="1A7E2EE4"/>
    <w:rsid w:val="1AA32748"/>
    <w:rsid w:val="1DB93609"/>
    <w:rsid w:val="1F6527D7"/>
    <w:rsid w:val="21700E89"/>
    <w:rsid w:val="21FF345A"/>
    <w:rsid w:val="23271E80"/>
    <w:rsid w:val="249576C4"/>
    <w:rsid w:val="260313B8"/>
    <w:rsid w:val="27F677A2"/>
    <w:rsid w:val="2D8B53BA"/>
    <w:rsid w:val="2EDE7A29"/>
    <w:rsid w:val="30B9145F"/>
    <w:rsid w:val="31F915EB"/>
    <w:rsid w:val="32DC77A3"/>
    <w:rsid w:val="33805A79"/>
    <w:rsid w:val="34E85DFA"/>
    <w:rsid w:val="35FA3CF9"/>
    <w:rsid w:val="3AA32117"/>
    <w:rsid w:val="3D6A3CBF"/>
    <w:rsid w:val="41480AB2"/>
    <w:rsid w:val="43105E65"/>
    <w:rsid w:val="44453EB7"/>
    <w:rsid w:val="46F1737E"/>
    <w:rsid w:val="490D3920"/>
    <w:rsid w:val="498853B8"/>
    <w:rsid w:val="4B0F6D73"/>
    <w:rsid w:val="4D881495"/>
    <w:rsid w:val="4EFB3B81"/>
    <w:rsid w:val="50FF7AD6"/>
    <w:rsid w:val="53693FD6"/>
    <w:rsid w:val="54206625"/>
    <w:rsid w:val="555733FB"/>
    <w:rsid w:val="56ED2323"/>
    <w:rsid w:val="5B9959AB"/>
    <w:rsid w:val="5C503C55"/>
    <w:rsid w:val="5E0C2EA9"/>
    <w:rsid w:val="5E9C1837"/>
    <w:rsid w:val="625D13C6"/>
    <w:rsid w:val="63F93858"/>
    <w:rsid w:val="64600235"/>
    <w:rsid w:val="672C285E"/>
    <w:rsid w:val="67BC4B5E"/>
    <w:rsid w:val="6A7037F0"/>
    <w:rsid w:val="6BEC471A"/>
    <w:rsid w:val="6BEF22D8"/>
    <w:rsid w:val="6C1C74E8"/>
    <w:rsid w:val="6D0511CE"/>
    <w:rsid w:val="6F9A3BD5"/>
    <w:rsid w:val="6FC622AE"/>
    <w:rsid w:val="70127B77"/>
    <w:rsid w:val="70436A40"/>
    <w:rsid w:val="740D7DD4"/>
    <w:rsid w:val="74456CAE"/>
    <w:rsid w:val="744A73F4"/>
    <w:rsid w:val="747612A7"/>
    <w:rsid w:val="74EB708D"/>
    <w:rsid w:val="786D63AA"/>
    <w:rsid w:val="7A0947C4"/>
    <w:rsid w:val="7F6C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djustRightInd w:val="0"/>
      <w:spacing w:before="100" w:beforeAutospacing="1" w:after="100" w:afterAutospacing="1" w:line="312" w:lineRule="atLeast"/>
      <w:ind w:firstLine="200" w:firstLineChars="200"/>
      <w:jc w:val="left"/>
      <w:textAlignment w:val="baseline"/>
    </w:pPr>
    <w:rPr>
      <w:rFonts w:ascii="Times New Roman" w:hAnsi="Times New Roman"/>
      <w:kern w:val="0"/>
      <w:sz w:val="24"/>
      <w:szCs w:val="24"/>
    </w:rPr>
  </w:style>
  <w:style w:type="paragraph" w:customStyle="1" w:styleId="9">
    <w:name w:val="Char Char Char Char"/>
    <w:basedOn w:val="1"/>
    <w:link w:val="8"/>
    <w:qFormat/>
    <w:uiPriority w:val="0"/>
    <w:pPr>
      <w:widowControl/>
      <w:spacing w:after="160" w:line="240" w:lineRule="exact"/>
      <w:jc w:val="left"/>
    </w:pPr>
    <w:rPr>
      <w:rFonts w:ascii="Verdana" w:hAnsi="Verdana"/>
      <w:kern w:val="0"/>
      <w:sz w:val="20"/>
      <w:lang w:eastAsia="en-U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497</Words>
  <Characters>2836</Characters>
  <Lines>23</Lines>
  <Paragraphs>6</Paragraphs>
  <TotalTime>6</TotalTime>
  <ScaleCrop>false</ScaleCrop>
  <LinksUpToDate>false</LinksUpToDate>
  <CharactersWithSpaces>3327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2024-02-19T10:15:00Z</dcterms:created>
  <dc:creator>严杨成</dc:creator>
  <cp:lastModifiedBy>ptgs</cp:lastModifiedBy>
  <cp:lastPrinted>2024-02-19T09:38:00Z</cp:lastPrinted>
  <dcterms:modified xsi:type="dcterms:W3CDTF">2024-10-08T01:56:34Z</dcterms:modified>
  <dc:title>莆田市工商行政管理局发文稿纸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