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eastAsia="方正小标宋简体"/>
          <w:sz w:val="44"/>
          <w:szCs w:val="44"/>
        </w:rPr>
      </w:pPr>
      <w:r>
        <w:rPr>
          <w:rFonts w:hint="eastAsia" w:eastAsia="方正小标宋简体" w:cs="方正小标宋简体"/>
          <w:sz w:val="44"/>
          <w:szCs w:val="44"/>
        </w:rPr>
        <w:t>莆田市市场监督管理局</w:t>
      </w:r>
    </w:p>
    <w:p>
      <w:pPr>
        <w:spacing w:line="640" w:lineRule="exact"/>
        <w:jc w:val="center"/>
        <w:rPr>
          <w:rFonts w:eastAsia="方正小标宋简体"/>
          <w:sz w:val="44"/>
          <w:szCs w:val="44"/>
        </w:rPr>
      </w:pPr>
      <w:r>
        <w:rPr>
          <w:rFonts w:hint="eastAsia" w:eastAsia="方正小标宋简体" w:cs="方正小标宋简体"/>
          <w:sz w:val="44"/>
          <w:szCs w:val="44"/>
        </w:rPr>
        <w:t>行政处罚决定书</w:t>
      </w:r>
    </w:p>
    <w:p>
      <w:pPr>
        <w:keepNext w:val="0"/>
        <w:keepLines w:val="0"/>
        <w:pageBreakBefore w:val="0"/>
        <w:widowControl w:val="0"/>
        <w:kinsoku/>
        <w:wordWrap/>
        <w:overflowPunct/>
        <w:topLinePunct w:val="0"/>
        <w:autoSpaceDE/>
        <w:autoSpaceDN/>
        <w:bidi w:val="0"/>
        <w:adjustRightInd/>
        <w:snapToGrid w:val="0"/>
        <w:spacing w:after="292" w:afterLines="50" w:line="560" w:lineRule="exact"/>
        <w:jc w:val="center"/>
        <w:textAlignment w:val="auto"/>
        <w:rPr>
          <w:rFonts w:hint="eastAsia" w:ascii="仿宋_GB2312" w:eastAsia="仿宋_GB2312" w:cs="仿宋_GB2312"/>
          <w:sz w:val="32"/>
          <w:szCs w:val="32"/>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4" name="自选图形 6"/>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2pt;margin-top:1638pt;height:0.1pt;width:453.7pt;z-index:25166233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Xiia2gAAAAsBAAAP&#10;AAAAAAAAAAEAIAAAACIAAABkcnMvZG93bnJldi54bWxQSwECFAAUAAAACACHTuJAK+dXP90BAACX&#10;AwAADgAAAAAAAAABACAAAAApAQAAZHJzL2Uyb0RvYy54bWxQSwUGAAAAAAYABgBZAQAAeAUAAAAA&#10;">
                <v:fill on="f" focussize="0,0"/>
                <v:stroke weight="1.5pt" color="#000000" joinstyle="round" endcap="square"/>
                <v:imagedata o:title=""/>
                <o:lock v:ext="edit" aspectratio="f"/>
              </v:shape>
            </w:pict>
          </mc:Fallback>
        </mc:AlternateContent>
      </w:r>
      <w:r>
        <w:rPr>
          <w:rFonts w:hint="eastAsia" w:ascii="仿宋_GB2312" w:eastAsia="仿宋_GB2312" w:cs="仿宋_GB2312"/>
          <w:sz w:val="32"/>
          <w:szCs w:val="32"/>
        </w:rPr>
        <w:t>莆市监处罚〔2023〕12060005号</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eastAsia="仿宋_GB2312" w:cs="仿宋_GB2312"/>
          <w:kern w:val="1"/>
          <w:sz w:val="32"/>
          <w:szCs w:val="32"/>
        </w:rPr>
      </w:pPr>
      <w:r>
        <w:rPr>
          <w:rFonts w:hint="eastAsia" w:eastAsia="仿宋_GB2312" w:cs="仿宋_GB2312"/>
          <w:kern w:val="1"/>
          <w:sz w:val="32"/>
          <w:szCs w:val="32"/>
        </w:rPr>
        <w:t>当事人：</w:t>
      </w:r>
      <w:r>
        <w:rPr>
          <w:rFonts w:hint="eastAsia" w:ascii="仿宋_GB2312" w:hAnsi="仿宋" w:eastAsia="仿宋_GB2312"/>
          <w:sz w:val="32"/>
          <w:szCs w:val="32"/>
        </w:rPr>
        <w:t>莆田市涵江区利民蔬菜店</w:t>
      </w:r>
      <w:r>
        <w:rPr>
          <w:rFonts w:hint="eastAsia" w:eastAsia="仿宋_GB2312" w:cs="仿宋_GB2312"/>
          <w:kern w:val="1"/>
          <w:sz w:val="32"/>
          <w:szCs w:val="32"/>
        </w:rPr>
        <w:t xml:space="preserve">       </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eastAsia="仿宋_GB2312" w:cs="仿宋_GB2312"/>
          <w:kern w:val="1"/>
          <w:sz w:val="32"/>
          <w:szCs w:val="32"/>
        </w:rPr>
      </w:pPr>
      <w:r>
        <w:rPr>
          <w:rFonts w:hint="eastAsia" w:eastAsia="仿宋_GB2312" w:cs="仿宋_GB2312"/>
          <w:kern w:val="1"/>
          <w:sz w:val="32"/>
          <w:szCs w:val="32"/>
        </w:rPr>
        <w:t xml:space="preserve">主体资格证照名称：营业执照 </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eastAsia="仿宋_GB2312" w:cs="仿宋_GB2312"/>
          <w:kern w:val="1"/>
          <w:sz w:val="32"/>
          <w:szCs w:val="32"/>
        </w:rPr>
      </w:pPr>
      <w:r>
        <w:rPr>
          <w:rFonts w:hint="eastAsia" w:eastAsia="仿宋_GB2312" w:cs="仿宋_GB2312"/>
          <w:kern w:val="1"/>
          <w:sz w:val="32"/>
          <w:szCs w:val="32"/>
        </w:rPr>
        <w:t>统一社会信用代码：</w:t>
      </w:r>
      <w:r>
        <w:rPr>
          <w:rFonts w:hint="eastAsia" w:ascii="仿宋_GB2312" w:hAnsi="仿宋" w:eastAsia="仿宋_GB2312"/>
          <w:sz w:val="32"/>
          <w:szCs w:val="32"/>
        </w:rPr>
        <w:t>92350303MA2YAB073E</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eastAsia="仿宋_GB2312" w:cs="仿宋_GB2312"/>
          <w:spacing w:val="-8"/>
          <w:kern w:val="1"/>
          <w:sz w:val="32"/>
          <w:szCs w:val="32"/>
        </w:rPr>
      </w:pPr>
      <w:r>
        <w:rPr>
          <w:rFonts w:hint="eastAsia" w:eastAsia="仿宋_GB2312" w:cs="仿宋_GB2312"/>
          <w:spacing w:val="-8"/>
          <w:kern w:val="1"/>
          <w:sz w:val="32"/>
          <w:szCs w:val="32"/>
        </w:rPr>
        <w:t>经营场所：</w:t>
      </w:r>
      <w:r>
        <w:rPr>
          <w:rFonts w:hint="eastAsia" w:ascii="仿宋_GB2312" w:hAnsi="仿宋" w:eastAsia="仿宋_GB2312"/>
          <w:sz w:val="32"/>
          <w:szCs w:val="32"/>
        </w:rPr>
        <w:t>莆田市涵江区四十米路市场内摊位3号</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eastAsia="仿宋_GB2312" w:cs="仿宋_GB2312"/>
          <w:kern w:val="1"/>
          <w:sz w:val="32"/>
          <w:szCs w:val="32"/>
        </w:rPr>
      </w:pPr>
      <w:r>
        <w:rPr>
          <w:rFonts w:hint="eastAsia" w:eastAsia="仿宋_GB2312" w:cs="仿宋_GB2312"/>
          <w:kern w:val="1"/>
          <w:sz w:val="32"/>
          <w:szCs w:val="32"/>
        </w:rPr>
        <w:t>经营者：</w:t>
      </w:r>
      <w:r>
        <w:rPr>
          <w:rFonts w:hint="eastAsia" w:ascii="仿宋_GB2312" w:hAnsi="仿宋" w:eastAsia="仿宋_GB2312"/>
          <w:sz w:val="32"/>
          <w:szCs w:val="32"/>
        </w:rPr>
        <w:t>刘兆广</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eastAsia="仿宋_GB2312" w:cs="仿宋_GB2312"/>
          <w:kern w:val="1"/>
          <w:sz w:val="32"/>
          <w:szCs w:val="32"/>
          <w:lang w:val="en-US" w:eastAsia="zh-CN"/>
        </w:rPr>
      </w:pPr>
      <w:r>
        <w:rPr>
          <w:rFonts w:hint="eastAsia" w:eastAsia="仿宋_GB2312" w:cs="仿宋_GB2312"/>
          <w:kern w:val="1"/>
          <w:sz w:val="32"/>
          <w:szCs w:val="32"/>
        </w:rPr>
        <w:t>公民身份号码：</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eastAsia="仿宋_GB2312" w:cs="仿宋_GB2312"/>
          <w:kern w:val="1"/>
          <w:sz w:val="32"/>
          <w:szCs w:val="32"/>
          <w:lang w:val="en-US" w:eastAsia="zh-CN"/>
        </w:rPr>
      </w:pPr>
      <w:r>
        <w:rPr>
          <w:rFonts w:hint="eastAsia" w:eastAsia="仿宋_GB2312" w:cs="仿宋_GB2312"/>
          <w:kern w:val="1"/>
          <w:sz w:val="32"/>
          <w:szCs w:val="32"/>
        </w:rPr>
        <w:t>联系电话：</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eastAsia="仿宋_GB2312" w:cs="仿宋_GB2312"/>
          <w:kern w:val="1"/>
          <w:sz w:val="32"/>
          <w:szCs w:val="32"/>
          <w:lang w:val="en-US" w:eastAsia="zh-CN"/>
        </w:rPr>
      </w:pPr>
      <w:r>
        <w:rPr>
          <w:rFonts w:hint="eastAsia" w:eastAsia="仿宋_GB2312" w:cs="仿宋_GB2312"/>
          <w:kern w:val="1"/>
          <w:sz w:val="32"/>
          <w:szCs w:val="32"/>
        </w:rPr>
        <w:t>联系地址：</w:t>
      </w:r>
      <w:r>
        <w:rPr>
          <w:rFonts w:hint="eastAsia" w:ascii="仿宋_GB2312" w:hAnsi="仿宋" w:eastAsia="仿宋_GB2312"/>
          <w:sz w:val="32"/>
          <w:szCs w:val="32"/>
          <w:lang w:val="en-US" w:eastAsia="zh-CN"/>
        </w:rPr>
        <w:t>***</w:t>
      </w:r>
      <w:bookmarkStart w:id="0" w:name="_GoBack"/>
      <w:bookmarkEnd w:id="0"/>
    </w:p>
    <w:p>
      <w:pPr>
        <w:keepNext w:val="0"/>
        <w:keepLines w:val="0"/>
        <w:pageBreakBefore w:val="0"/>
        <w:widowControl w:val="0"/>
        <w:kinsoku/>
        <w:wordWrap/>
        <w:overflowPunct/>
        <w:topLinePunct w:val="0"/>
        <w:autoSpaceDN/>
        <w:bidi w:val="0"/>
        <w:adjustRightInd/>
        <w:snapToGrid/>
        <w:spacing w:line="560" w:lineRule="exact"/>
        <w:ind w:firstLine="627" w:firstLineChars="196"/>
        <w:textAlignment w:val="auto"/>
        <w:rPr>
          <w:rFonts w:hint="eastAsia" w:ascii="仿宋_GB2312" w:hAnsi="仿宋" w:eastAsia="仿宋_GB2312"/>
          <w:kern w:val="1"/>
          <w:sz w:val="32"/>
          <w:szCs w:val="32"/>
        </w:rPr>
      </w:pPr>
      <w:r>
        <w:rPr>
          <w:rFonts w:hint="eastAsia" w:ascii="仿宋_GB2312" w:hAnsi="仿宋" w:eastAsia="仿宋_GB2312"/>
          <w:kern w:val="1"/>
          <w:sz w:val="32"/>
          <w:szCs w:val="32"/>
        </w:rPr>
        <w:t>2023年9月25日，本局委托福建赛福食品检测研究所有限公司对莆田第六中学第一食堂采购使用的原料生姜进行监督抽检，经检测，上述批次生姜的重金属铅项目GB2762-2022《食品安全国家标准 食品中污染物限量》要求，检验结论为不合格（检测报告NO：2023SFJC011035）。莆田第六中学第一食堂未在规定期限内申请复检或提出异议申请。经查，上述不合格生姜是由当事人销售给莆田市荔城区黄石翁利民菜篮子基地后供应给莆田第六中学食堂。当事人经营重金属铅残留不合格的生姜的行为，涉嫌违反了《中华人民共和国食品安全法》第三十四条第一款第（二）项的规定，经局领导审批，本局于2023年11月29日立案调查。</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经查明，2023年9月25日本局委托福建赛福食品检测研究所有限公司对由莆田市荔城区黄石翁利民菜篮子基地供应给莆田第六中学第一食堂使用的食品原料生姜进行监督抽检，经检验，该批次生姜铅项目不符合GB2762-2022《食品安全国家标准 食品中污染物限量》要求，检验结论为不合格。莆田第六中学第一食堂未在规定期限内提出复检或异议申请。</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当事人于2023年9月25日以16元/公斤的采购价从农户购进上述不合格批次生姜15公斤，并以17元/公斤的销售价全部销售给莆田市荔城区黄石翁利民菜篮子基地。上述不合格生姜货值金额为255元，违法所得15元。</w:t>
      </w:r>
      <w:r>
        <w:rPr>
          <w:rFonts w:hint="eastAsia" w:ascii="仿宋_GB2312" w:hAnsi="仿宋_GB2312" w:eastAsia="仿宋_GB2312"/>
          <w:sz w:val="32"/>
          <w:szCs w:val="32"/>
        </w:rPr>
        <w:t>当事人采购上述涉案不合格生姜时，未查验登记采购涉案批次食品</w:t>
      </w:r>
      <w:r>
        <w:rPr>
          <w:rFonts w:hint="eastAsia" w:ascii="仿宋_GB2312" w:eastAsia="仿宋_GB2312" w:cs="仿宋_GB2312"/>
          <w:sz w:val="32"/>
          <w:szCs w:val="32"/>
        </w:rPr>
        <w:t>生姜</w:t>
      </w:r>
      <w:r>
        <w:rPr>
          <w:rFonts w:hint="eastAsia" w:ascii="仿宋_GB2312" w:hAnsi="仿宋_GB2312" w:eastAsia="仿宋_GB2312"/>
          <w:sz w:val="32"/>
          <w:szCs w:val="32"/>
        </w:rPr>
        <w:t>供货商名称、地址、联系方式等内容，亦无法提供涉案生姜的随货凭证、及供应商经营资质等证明材料。</w:t>
      </w:r>
    </w:p>
    <w:p>
      <w:pPr>
        <w:keepNext w:val="0"/>
        <w:keepLines w:val="0"/>
        <w:pageBreakBefore w:val="0"/>
        <w:widowControl w:val="0"/>
        <w:kinsoku/>
        <w:wordWrap/>
        <w:overflowPunct/>
        <w:topLinePunct w:val="0"/>
        <w:autoSpaceDE w:val="0"/>
        <w:autoSpaceDN/>
        <w:bidi w:val="0"/>
        <w:adjustRightInd/>
        <w:snapToGrid/>
        <w:spacing w:line="560" w:lineRule="exact"/>
        <w:ind w:firstLine="615" w:firstLineChars="196"/>
        <w:jc w:val="left"/>
        <w:textAlignment w:val="auto"/>
        <w:rPr>
          <w:rFonts w:hint="eastAsia" w:ascii="仿宋_GB2312" w:hAnsi="仿宋" w:eastAsia="仿宋_GB2312"/>
          <w:sz w:val="32"/>
          <w:szCs w:val="32"/>
        </w:rPr>
      </w:pPr>
      <w:r>
        <w:rPr>
          <w:rFonts w:hint="eastAsia" w:ascii="仿宋_GB2312" w:hAnsi="仿宋_GB2312" w:eastAsia="仿宋_GB2312" w:cs="仿宋_GB2312"/>
          <w:spacing w:val="-3"/>
          <w:sz w:val="32"/>
          <w:szCs w:val="32"/>
        </w:rPr>
        <w:t>上述事实，主要有以下证据证明:1.</w:t>
      </w:r>
      <w:r>
        <w:rPr>
          <w:rFonts w:hint="eastAsia" w:ascii="仿宋_GB2312" w:hAnsi="仿宋" w:eastAsia="仿宋_GB2312"/>
          <w:sz w:val="32"/>
          <w:szCs w:val="32"/>
        </w:rPr>
        <w:t>从案卷“莆田第六中学第一食堂涉嫌使用不合格食品原料案”中复印莆田第六中学第一食堂现场检查笔录1份、现场检查拍摄的数码照片4张</w:t>
      </w:r>
      <w:r>
        <w:rPr>
          <w:rFonts w:hint="eastAsia" w:ascii="仿宋_GB2312" w:hAnsi="仿宋_GB2312" w:eastAsia="仿宋_GB2312" w:cs="仿宋_GB2312"/>
          <w:spacing w:val="-3"/>
          <w:sz w:val="32"/>
          <w:szCs w:val="32"/>
        </w:rPr>
        <w:t>；2.</w:t>
      </w:r>
      <w:r>
        <w:rPr>
          <w:rFonts w:hint="eastAsia" w:ascii="仿宋_GB2312" w:hAnsi="仿宋" w:eastAsia="仿宋_GB2312"/>
          <w:sz w:val="32"/>
          <w:szCs w:val="32"/>
        </w:rPr>
        <w:t>从案卷“莆田第六中学第一食堂涉嫌使用不合格食品原料案”中复印莆田第六中学委托代理人询问笔录1份</w:t>
      </w:r>
      <w:r>
        <w:rPr>
          <w:rFonts w:hint="eastAsia" w:ascii="仿宋_GB2312" w:hAnsi="仿宋_GB2312" w:eastAsia="仿宋_GB2312" w:cs="仿宋_GB2312"/>
          <w:spacing w:val="-3"/>
          <w:sz w:val="32"/>
          <w:szCs w:val="32"/>
        </w:rPr>
        <w:t>；3.</w:t>
      </w:r>
      <w:r>
        <w:rPr>
          <w:rFonts w:hint="eastAsia" w:ascii="仿宋_GB2312" w:hAnsi="仿宋" w:eastAsia="仿宋_GB2312"/>
          <w:sz w:val="32"/>
          <w:szCs w:val="32"/>
        </w:rPr>
        <w:t>从案卷“莆田第六中学第一食堂涉嫌使用不合格食品原料案”中复印国家食品安全抽样检验结果通知书、福建赛福食品检测研究所有限公司出具的检验报告（编号：2023SFJC011035)各1份</w:t>
      </w:r>
      <w:r>
        <w:rPr>
          <w:rFonts w:hint="eastAsia" w:ascii="仿宋_GB2312" w:hAnsi="仿宋_GB2312" w:eastAsia="仿宋_GB2312" w:cs="仿宋_GB2312"/>
          <w:spacing w:val="-3"/>
          <w:sz w:val="32"/>
          <w:szCs w:val="32"/>
        </w:rPr>
        <w:t>；4.</w:t>
      </w:r>
      <w:r>
        <w:rPr>
          <w:rFonts w:hint="eastAsia" w:ascii="仿宋_GB2312" w:hAnsi="仿宋" w:eastAsia="仿宋_GB2312"/>
          <w:sz w:val="32"/>
          <w:szCs w:val="32"/>
        </w:rPr>
        <w:t>从案卷“莆田第六中学第一食堂涉嫌使用不合格食品原料案”中复印莆田第六中学提供的事业单位法人证、食品经营许可证及法定代表人身份证、被委托人复印件及授权委托书各1份</w:t>
      </w:r>
      <w:r>
        <w:rPr>
          <w:rFonts w:hint="eastAsia" w:ascii="仿宋_GB2312" w:hAnsi="仿宋_GB2312" w:eastAsia="仿宋_GB2312" w:cs="仿宋_GB2312"/>
          <w:spacing w:val="-3"/>
          <w:sz w:val="32"/>
          <w:szCs w:val="32"/>
        </w:rPr>
        <w:t>；5.</w:t>
      </w:r>
      <w:r>
        <w:rPr>
          <w:rFonts w:hint="eastAsia" w:ascii="仿宋_GB2312" w:hAnsi="仿宋" w:eastAsia="仿宋_GB2312"/>
          <w:sz w:val="32"/>
          <w:szCs w:val="32"/>
        </w:rPr>
        <w:t>从案卷“莆田第六中学第一食堂涉嫌使用不合格食品原料案”中复印莆田第六中学提供的涉案食品生姜的供应商营业执照、采购合同、同批次生姜的随货票据等复印件及快检记录单复印件各1份</w:t>
      </w:r>
      <w:r>
        <w:rPr>
          <w:rFonts w:hint="eastAsia" w:ascii="仿宋_GB2312" w:hAnsi="仿宋" w:eastAsia="仿宋_GB2312"/>
          <w:sz w:val="32"/>
          <w:szCs w:val="32"/>
          <w:lang w:val="en-US" w:eastAsia="zh-CN"/>
        </w:rPr>
        <w:t>;6.</w:t>
      </w:r>
      <w:r>
        <w:rPr>
          <w:rFonts w:hint="eastAsia" w:ascii="仿宋_GB2312" w:hAnsi="仿宋" w:eastAsia="仿宋_GB2312"/>
          <w:sz w:val="32"/>
          <w:szCs w:val="32"/>
        </w:rPr>
        <w:t>从案卷“莆田第六中学第一食堂涉嫌使用不合格食品原料案”中复印涉案食品不合格项目专家评估认定记录表（2023年11月24日，2023098）1份</w:t>
      </w:r>
      <w:r>
        <w:rPr>
          <w:rFonts w:hint="eastAsia" w:ascii="仿宋_GB2312" w:hAnsi="仿宋" w:eastAsia="仿宋_GB2312"/>
          <w:sz w:val="32"/>
          <w:szCs w:val="32"/>
          <w:lang w:val="en-US" w:eastAsia="zh-CN"/>
        </w:rPr>
        <w:t>;7.</w:t>
      </w:r>
      <w:r>
        <w:rPr>
          <w:rFonts w:hint="eastAsia" w:ascii="仿宋_GB2312" w:hAnsi="仿宋" w:eastAsia="仿宋_GB2312"/>
          <w:sz w:val="32"/>
          <w:szCs w:val="32"/>
        </w:rPr>
        <w:t>从案卷“莆田第六中学第一食堂涉嫌使用不合格食品原料案”中复印涉案食品生姜供应商莆田市荔城区黄石翁利民菜篮子基地经营者询问笔录1份及其提供的涉案食品生姜采购票据等复印件1份</w:t>
      </w:r>
      <w:r>
        <w:rPr>
          <w:rFonts w:hint="eastAsia" w:ascii="仿宋_GB2312" w:hAnsi="仿宋" w:eastAsia="仿宋_GB2312"/>
          <w:sz w:val="32"/>
          <w:szCs w:val="32"/>
          <w:lang w:val="en-US" w:eastAsia="zh-CN"/>
        </w:rPr>
        <w:t>;8.</w:t>
      </w:r>
      <w:r>
        <w:rPr>
          <w:rFonts w:hint="eastAsia" w:ascii="仿宋_GB2312" w:hAnsi="仿宋" w:eastAsia="仿宋_GB2312"/>
          <w:sz w:val="32"/>
          <w:szCs w:val="32"/>
        </w:rPr>
        <w:t>从案卷“莆田第六中学第一食堂涉嫌使用不合格食品原料案”中复印涉案食品生姜供应商莆田市荔城区黄石翁利民菜篮子基地提供的营业执照、经营者身份证复印件各1份</w:t>
      </w:r>
      <w:r>
        <w:rPr>
          <w:rFonts w:hint="eastAsia" w:ascii="仿宋_GB2312" w:hAnsi="仿宋" w:eastAsia="仿宋_GB2312"/>
          <w:sz w:val="32"/>
          <w:szCs w:val="32"/>
          <w:lang w:val="en-US" w:eastAsia="zh-CN"/>
        </w:rPr>
        <w:t>;9.</w:t>
      </w:r>
      <w:r>
        <w:rPr>
          <w:rFonts w:hint="eastAsia" w:ascii="仿宋_GB2312" w:hAnsi="仿宋" w:eastAsia="仿宋_GB2312"/>
          <w:sz w:val="32"/>
          <w:szCs w:val="32"/>
        </w:rPr>
        <w:t>从案卷“莆田第六中学第一食堂涉嫌使用不合格食品原料案”中复印当事人莆田市涵江区利民蔬菜店经营者询问笔录1份及其提供的营业执照、经营者身份证复印件各1份</w:t>
      </w:r>
      <w:r>
        <w:rPr>
          <w:rFonts w:hint="eastAsia" w:ascii="仿宋_GB2312" w:hAnsi="仿宋_GB2312" w:eastAsia="仿宋_GB2312" w:cs="仿宋_GB2312"/>
          <w:spacing w:val="-3"/>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29"/>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本局于2024年2月</w:t>
      </w:r>
      <w:r>
        <w:rPr>
          <w:rFonts w:hint="eastAsia" w:ascii="仿宋_GB2312" w:hAnsi="仿宋_GB2312" w:eastAsia="仿宋_GB2312" w:cs="仿宋_GB2312"/>
          <w:spacing w:val="-3"/>
          <w:sz w:val="32"/>
          <w:szCs w:val="32"/>
          <w:lang w:val="en-US" w:eastAsia="zh-CN"/>
        </w:rPr>
        <w:t>6</w:t>
      </w:r>
      <w:r>
        <w:rPr>
          <w:rFonts w:hint="eastAsia" w:ascii="仿宋_GB2312" w:hAnsi="仿宋_GB2312" w:eastAsia="仿宋_GB2312" w:cs="仿宋_GB2312"/>
          <w:spacing w:val="-3"/>
          <w:sz w:val="32"/>
          <w:szCs w:val="32"/>
        </w:rPr>
        <w:t>日向当事人依法送达了《莆田市市场监督管理局行政处罚告知书》（莆市监罚告〔2023〕</w:t>
      </w:r>
      <w:r>
        <w:rPr>
          <w:rFonts w:hint="eastAsia" w:ascii="仿宋_GB2312" w:eastAsia="仿宋_GB2312" w:cs="仿宋_GB2312"/>
          <w:sz w:val="32"/>
          <w:szCs w:val="32"/>
        </w:rPr>
        <w:t>12060005</w:t>
      </w:r>
      <w:r>
        <w:rPr>
          <w:rFonts w:hint="eastAsia" w:ascii="仿宋_GB2312" w:hAnsi="仿宋_GB2312" w:eastAsia="仿宋_GB2312" w:cs="仿宋_GB2312"/>
          <w:spacing w:val="-3"/>
          <w:sz w:val="32"/>
          <w:szCs w:val="32"/>
        </w:rPr>
        <w:t xml:space="preserve">号），告知当事人拟作出行政处罚的事实、理由、依据、处罚内容及其依法享有陈述、申辩的权利。当事人在法定期限内未提出陈述申辩。 </w:t>
      </w:r>
    </w:p>
    <w:p>
      <w:pPr>
        <w:keepNext w:val="0"/>
        <w:keepLines w:val="0"/>
        <w:pageBreakBefore w:val="0"/>
        <w:widowControl w:val="0"/>
        <w:kinsoku/>
        <w:wordWrap/>
        <w:overflowPunct/>
        <w:topLinePunct w:val="0"/>
        <w:autoSpaceDE w:val="0"/>
        <w:autoSpaceDN/>
        <w:bidi w:val="0"/>
        <w:adjustRightInd/>
        <w:snapToGrid/>
        <w:spacing w:line="560" w:lineRule="exact"/>
        <w:ind w:firstLine="615" w:firstLineChars="196"/>
        <w:jc w:val="left"/>
        <w:textAlignment w:val="auto"/>
        <w:rPr>
          <w:rFonts w:hint="eastAsia" w:ascii="仿宋_GB2312" w:hAnsi="仿宋" w:eastAsia="仿宋_GB2312"/>
          <w:b/>
          <w:kern w:val="1"/>
          <w:sz w:val="32"/>
          <w:szCs w:val="32"/>
        </w:rPr>
      </w:pPr>
      <w:r>
        <w:rPr>
          <w:rFonts w:hint="eastAsia" w:ascii="仿宋_GB2312" w:hAnsi="仿宋_GB2312" w:eastAsia="仿宋_GB2312" w:cs="仿宋_GB2312"/>
          <w:spacing w:val="-3"/>
          <w:sz w:val="32"/>
          <w:szCs w:val="32"/>
        </w:rPr>
        <w:t>本局认为：</w:t>
      </w:r>
      <w:r>
        <w:rPr>
          <w:rFonts w:hint="eastAsia" w:ascii="仿宋_GB2312" w:hAnsi="仿宋" w:eastAsia="仿宋_GB2312"/>
          <w:sz w:val="32"/>
          <w:szCs w:val="32"/>
        </w:rPr>
        <w:t>当事人经营重金属铅不合格的食品原料生姜的行为，违反了《中华人民共和国食品安全法》第三十四条第一款第（二）项的规定，属于经营重金属残留含量超过食品安全标准限量的食品违法行为；当事人采购涉案生姜时未查验记录供应商信息及生姜合格证明的行为，违反了</w:t>
      </w:r>
      <w:r>
        <w:rPr>
          <w:rFonts w:hint="eastAsia" w:ascii="仿宋_GB2312" w:hAnsi="仿宋" w:eastAsia="仿宋_GB2312"/>
          <w:kern w:val="1"/>
          <w:sz w:val="32"/>
          <w:szCs w:val="32"/>
        </w:rPr>
        <w:t>《中华人民共和国食品安全法》第六十五条的规定，属未履行进货查验义务行为。</w:t>
      </w:r>
    </w:p>
    <w:p>
      <w:pPr>
        <w:keepNext w:val="0"/>
        <w:keepLines w:val="0"/>
        <w:pageBreakBefore w:val="0"/>
        <w:widowControl w:val="0"/>
        <w:kinsoku/>
        <w:wordWrap/>
        <w:overflowPunct/>
        <w:topLinePunct w:val="0"/>
        <w:autoSpaceDE w:val="0"/>
        <w:autoSpaceDN/>
        <w:bidi w:val="0"/>
        <w:adjustRightInd/>
        <w:snapToGrid/>
        <w:spacing w:line="560" w:lineRule="exact"/>
        <w:ind w:firstLine="627" w:firstLineChars="196"/>
        <w:jc w:val="left"/>
        <w:textAlignment w:val="auto"/>
        <w:rPr>
          <w:rFonts w:hint="eastAsia" w:ascii="仿宋_GB2312" w:hAnsi="仿宋" w:eastAsia="仿宋_GB2312"/>
          <w:sz w:val="32"/>
          <w:szCs w:val="32"/>
        </w:rPr>
      </w:pPr>
      <w:r>
        <w:rPr>
          <w:rFonts w:hint="eastAsia" w:ascii="仿宋_GB2312" w:hAnsi="仿宋" w:eastAsia="仿宋_GB2312"/>
          <w:sz w:val="32"/>
          <w:szCs w:val="32"/>
        </w:rPr>
        <w:t>鉴于当事人为个体工商户，在农贸市场摊位上销售食用农产品，能积极配合调查，涉案生姜货值金额</w:t>
      </w:r>
      <w:r>
        <w:rPr>
          <w:rFonts w:hint="eastAsia" w:ascii="仿宋_GB2312" w:hAnsi="仿宋" w:eastAsia="仿宋_GB2312"/>
          <w:sz w:val="32"/>
          <w:szCs w:val="32"/>
          <w:lang w:eastAsia="zh-CN"/>
        </w:rPr>
        <w:t>较小</w:t>
      </w:r>
      <w:r>
        <w:rPr>
          <w:rFonts w:hint="eastAsia" w:ascii="仿宋_GB2312" w:hAnsi="仿宋" w:eastAsia="仿宋_GB2312"/>
          <w:sz w:val="32"/>
          <w:szCs w:val="32"/>
        </w:rPr>
        <w:t>，且涉案生姜不合格项目不足于造成严重的食物中毒事故或者其他严重食源性疾病，</w:t>
      </w:r>
      <w:r>
        <w:rPr>
          <w:rFonts w:hint="eastAsia" w:ascii="仿宋_GB2312" w:hAnsi="仿宋" w:eastAsia="仿宋_GB2312"/>
          <w:sz w:val="32"/>
          <w:szCs w:val="32"/>
          <w:lang w:eastAsia="zh-CN"/>
        </w:rPr>
        <w:t>本局决定予以减轻处罚</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27" w:firstLineChars="196"/>
        <w:jc w:val="left"/>
        <w:textAlignment w:val="auto"/>
        <w:rPr>
          <w:rFonts w:hint="eastAsia" w:ascii="仿宋_GB2312" w:hAnsi="仿宋" w:eastAsia="仿宋_GB2312"/>
          <w:sz w:val="32"/>
          <w:szCs w:val="32"/>
        </w:rPr>
      </w:pPr>
      <w:r>
        <w:rPr>
          <w:rFonts w:hint="eastAsia" w:ascii="仿宋_GB2312" w:hAnsi="仿宋" w:eastAsia="仿宋_GB2312"/>
          <w:sz w:val="32"/>
          <w:szCs w:val="32"/>
        </w:rPr>
        <w:t>鉴于当事人未履行进货查验记录制度的行为为初次违法，违法程度一般，</w:t>
      </w:r>
      <w:r>
        <w:rPr>
          <w:rFonts w:hint="eastAsia" w:ascii="仿宋_GB2312" w:hAnsi="仿宋" w:eastAsia="仿宋_GB2312"/>
          <w:sz w:val="32"/>
          <w:szCs w:val="32"/>
          <w:lang w:eastAsia="zh-CN"/>
        </w:rPr>
        <w:t>本局决定予以一般处罚</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hAnsi="仿宋" w:eastAsia="仿宋_GB2312"/>
          <w:sz w:val="32"/>
          <w:szCs w:val="32"/>
        </w:rPr>
        <w:t>依据《中华人民共和国行政处罚法》第二十八条、第三十二条，《中华人民共和国食品安全法》第一百二十四条第一款第（一）项、第一百二十六条第一款、第四款规定</w:t>
      </w:r>
      <w:r>
        <w:rPr>
          <w:rFonts w:hint="eastAsia" w:ascii="仿宋_GB2312" w:eastAsia="仿宋_GB2312" w:cs="仿宋_GB2312"/>
          <w:sz w:val="32"/>
          <w:szCs w:val="32"/>
        </w:rPr>
        <w:t>，本局决定责令当事人改正上述违法行为，并作如下行政处</w:t>
      </w:r>
      <w:r>
        <w:rPr>
          <w:rFonts w:hint="eastAsia" w:ascii="仿宋_GB2312" w:eastAsia="仿宋_GB2312" w:cs="仿宋_GB2312"/>
          <w:sz w:val="32"/>
          <w:szCs w:val="32"/>
          <w:lang w:eastAsia="zh-CN"/>
        </w:rPr>
        <w:t>罚</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1.对当事人未履行进货查验记录制度的行为给予警告（拒不改正的，处五千元以上五万元以下罚款；情节严重的，责令停产停业，直至吊销许可证）；</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2.对当事人经营不合格食品生姜的行为，没收违法所得15元，并处罚款人民币6551元；</w:t>
      </w:r>
    </w:p>
    <w:p>
      <w:pPr>
        <w:keepNext w:val="0"/>
        <w:keepLines w:val="0"/>
        <w:pageBreakBefore w:val="0"/>
        <w:widowControl w:val="0"/>
        <w:kinsoku/>
        <w:wordWrap/>
        <w:overflowPunct/>
        <w:topLinePunct w:val="0"/>
        <w:autoSpaceDE w:val="0"/>
        <w:autoSpaceDN/>
        <w:bidi w:val="0"/>
        <w:adjustRightInd/>
        <w:snapToGrid/>
        <w:spacing w:line="560" w:lineRule="exact"/>
        <w:ind w:firstLine="629"/>
        <w:textAlignment w:val="auto"/>
        <w:rPr>
          <w:rFonts w:hint="eastAsia" w:ascii="仿宋_GB2312" w:hAnsi="仿宋" w:eastAsia="仿宋_GB2312"/>
          <w:sz w:val="32"/>
          <w:szCs w:val="32"/>
        </w:rPr>
      </w:pPr>
      <w:r>
        <w:rPr>
          <w:rFonts w:hint="eastAsia" w:ascii="仿宋_GB2312" w:hAnsi="仿宋" w:eastAsia="仿宋_GB2312"/>
          <w:sz w:val="32"/>
          <w:szCs w:val="32"/>
        </w:rPr>
        <w:t>以上罚没款共计人民币6566元，上缴国库。</w:t>
      </w:r>
    </w:p>
    <w:p>
      <w:pPr>
        <w:keepNext w:val="0"/>
        <w:keepLines w:val="0"/>
        <w:pageBreakBefore w:val="0"/>
        <w:widowControl w:val="0"/>
        <w:kinsoku/>
        <w:wordWrap/>
        <w:overflowPunct/>
        <w:topLinePunct w:val="0"/>
        <w:autoSpaceDN/>
        <w:bidi w:val="0"/>
        <w:adjustRightInd/>
        <w:snapToGrid/>
        <w:spacing w:line="560" w:lineRule="exact"/>
        <w:ind w:firstLine="628" w:firstLineChars="200"/>
        <w:textAlignment w:val="auto"/>
        <w:rPr>
          <w:rFonts w:hint="eastAsia" w:ascii="仿宋_GB2312" w:hAnsi="仿宋_GB2312" w:eastAsia="仿宋_GB2312"/>
          <w:spacing w:val="-3"/>
          <w:sz w:val="32"/>
          <w:szCs w:val="32"/>
        </w:rPr>
      </w:pPr>
      <w:r>
        <w:rPr>
          <w:rFonts w:hint="eastAsia" w:ascii="仿宋_GB2312" w:hAnsi="仿宋_GB2312" w:eastAsia="仿宋_GB2312"/>
          <w:spacing w:val="-3"/>
          <w:sz w:val="32"/>
          <w:szCs w:val="32"/>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w:t>
      </w:r>
      <w:r>
        <w:rPr>
          <w:rFonts w:ascii="仿宋_GB2312" w:hAnsi="仿宋_GB2312" w:eastAsia="仿宋_GB2312"/>
          <w:spacing w:val="-3"/>
          <w:sz w:val="32"/>
          <w:szCs w:val="32"/>
        </w:rPr>
        <w:t>’</w:t>
      </w:r>
      <w:r>
        <w:rPr>
          <w:rFonts w:hint="eastAsia" w:ascii="仿宋_GB2312" w:hAnsi="仿宋_GB2312" w:eastAsia="仿宋_GB2312"/>
          <w:spacing w:val="-3"/>
          <w:sz w:val="32"/>
          <w:szCs w:val="32"/>
        </w:rPr>
        <w:t>二维码”进行缴费。到期不缴纳罚款的，依据《中华人民共和国行政处罚法》第七十二条第一款第（一）项的规定，每日按罚款数额的百分之三加处罚款。</w:t>
      </w:r>
    </w:p>
    <w:p>
      <w:pPr>
        <w:keepNext w:val="0"/>
        <w:keepLines w:val="0"/>
        <w:pageBreakBefore w:val="0"/>
        <w:widowControl w:val="0"/>
        <w:kinsoku/>
        <w:wordWrap/>
        <w:overflowPunct/>
        <w:topLinePunct w:val="0"/>
        <w:autoSpaceDN/>
        <w:bidi w:val="0"/>
        <w:adjustRightInd/>
        <w:snapToGrid/>
        <w:spacing w:line="560" w:lineRule="exact"/>
        <w:ind w:firstLine="629"/>
        <w:textAlignment w:val="auto"/>
        <w:rPr>
          <w:rFonts w:hint="eastAsia" w:ascii="宋体" w:hAnsi="宋体" w:cs="仿宋_GB2312"/>
          <w:color w:val="000000"/>
          <w:sz w:val="32"/>
          <w:szCs w:val="32"/>
        </w:rPr>
      </w:pPr>
      <w:r>
        <w:rPr>
          <w:rFonts w:hint="eastAsia" w:ascii="仿宋_GB2312" w:hAnsi="仿宋_GB2312" w:eastAsia="仿宋_GB2312"/>
          <w:spacing w:val="-3"/>
          <w:sz w:val="32"/>
          <w:szCs w:val="32"/>
        </w:rPr>
        <w:t xml:space="preserve">如对以上行政处罚不服的，可在接到本决定书之日起六十日内，向莆田市人民政府申请复议或在六个月内向莆田市荔城区人民法院起诉；逾期不申请复议、不起诉又不履行的，本机关将申请人民法院强制执行。  </w:t>
      </w:r>
      <w:r>
        <w:rPr>
          <w:rFonts w:hint="eastAsia" w:ascii="宋体" w:hAnsi="宋体" w:cs="仿宋_GB2312"/>
          <w:color w:val="000000"/>
          <w:sz w:val="32"/>
          <w:szCs w:val="32"/>
        </w:rPr>
        <w:t xml:space="preserve"> </w:t>
      </w:r>
    </w:p>
    <w:p>
      <w:pPr>
        <w:spacing w:line="560" w:lineRule="exact"/>
        <w:ind w:firstLine="629"/>
        <w:rPr>
          <w:rFonts w:hint="eastAsia" w:ascii="仿宋_GB2312" w:eastAsia="仿宋_GB2312"/>
          <w:sz w:val="32"/>
          <w:szCs w:val="32"/>
        </w:rPr>
      </w:pPr>
      <w:r>
        <w:drawing>
          <wp:anchor distT="0" distB="0" distL="114300" distR="114300" simplePos="0" relativeHeight="251659264" behindDoc="1" locked="0" layoutInCell="1" allowOverlap="1">
            <wp:simplePos x="0" y="0"/>
            <wp:positionH relativeFrom="column">
              <wp:posOffset>196215</wp:posOffset>
            </wp:positionH>
            <wp:positionV relativeFrom="paragraph">
              <wp:posOffset>148590</wp:posOffset>
            </wp:positionV>
            <wp:extent cx="1450340" cy="2043430"/>
            <wp:effectExtent l="0" t="0" r="16510" b="13970"/>
            <wp:wrapNone/>
            <wp:docPr id="1" name="图片 7" descr="9702658a80015925c07d31c1c0e38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9702658a80015925c07d31c1c0e389f"/>
                    <pic:cNvPicPr>
                      <a:picLocks noChangeAspect="1"/>
                    </pic:cNvPicPr>
                  </pic:nvPicPr>
                  <pic:blipFill>
                    <a:blip r:embed="rId6"/>
                    <a:stretch>
                      <a:fillRect/>
                    </a:stretch>
                  </pic:blipFill>
                  <pic:spPr>
                    <a:xfrm>
                      <a:off x="0" y="0"/>
                      <a:ext cx="1450340" cy="2043430"/>
                    </a:xfrm>
                    <a:prstGeom prst="rect">
                      <a:avLst/>
                    </a:prstGeom>
                    <a:noFill/>
                    <a:ln>
                      <a:noFill/>
                    </a:ln>
                  </pic:spPr>
                </pic:pic>
              </a:graphicData>
            </a:graphic>
          </wp:anchor>
        </w:drawing>
      </w:r>
      <w:r>
        <w:rPr>
          <w:rFonts w:hint="eastAsia" w:ascii="仿宋_GB2312" w:hAnsi="仿宋_GB2312" w:eastAsia="仿宋_GB2312"/>
          <w:spacing w:val="-3"/>
          <w:sz w:val="32"/>
          <w:szCs w:val="32"/>
        </w:rPr>
        <w:t>附：“云缴费”二维码</w:t>
      </w:r>
    </w:p>
    <w:p>
      <w:pPr>
        <w:spacing w:line="560" w:lineRule="exact"/>
        <w:ind w:firstLine="629"/>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629"/>
        <w:rPr>
          <w:rFonts w:hint="eastAsia" w:ascii="仿宋_GB2312" w:eastAsia="仿宋_GB2312"/>
          <w:sz w:val="32"/>
          <w:szCs w:val="32"/>
        </w:rPr>
      </w:pPr>
    </w:p>
    <w:p>
      <w:pPr>
        <w:spacing w:line="560" w:lineRule="exact"/>
        <w:ind w:firstLine="629"/>
        <w:rPr>
          <w:rFonts w:hint="eastAsia" w:ascii="仿宋_GB2312" w:eastAsia="仿宋_GB2312"/>
          <w:sz w:val="32"/>
          <w:szCs w:val="32"/>
        </w:rPr>
      </w:pPr>
    </w:p>
    <w:p>
      <w:pPr>
        <w:spacing w:line="560" w:lineRule="exact"/>
        <w:ind w:firstLine="629"/>
        <w:rPr>
          <w:rFonts w:hint="eastAsia" w:ascii="仿宋_GB2312" w:eastAsia="仿宋_GB2312"/>
          <w:sz w:val="32"/>
          <w:szCs w:val="32"/>
        </w:rPr>
      </w:pPr>
    </w:p>
    <w:p>
      <w:pPr>
        <w:spacing w:line="560" w:lineRule="exact"/>
        <w:ind w:firstLine="629"/>
        <w:rPr>
          <w:rFonts w:hint="eastAsia" w:ascii="仿宋_GB2312" w:eastAsia="仿宋_GB2312"/>
          <w:sz w:val="32"/>
          <w:szCs w:val="32"/>
        </w:rPr>
      </w:pPr>
    </w:p>
    <w:p>
      <w:pPr>
        <w:spacing w:line="560" w:lineRule="exact"/>
        <w:ind w:firstLine="629"/>
        <w:rPr>
          <w:rFonts w:hint="eastAsia" w:ascii="仿宋_GB2312" w:eastAsia="仿宋_GB2312"/>
          <w:sz w:val="32"/>
          <w:szCs w:val="32"/>
        </w:rPr>
      </w:pPr>
    </w:p>
    <w:p>
      <w:pPr>
        <w:spacing w:line="560" w:lineRule="exact"/>
        <w:ind w:firstLine="629"/>
        <w:rPr>
          <w:rFonts w:hint="eastAsia" w:ascii="仿宋_GB2312" w:hAnsi="仿宋_GB2312" w:eastAsia="仿宋_GB2312"/>
          <w:spacing w:val="-3"/>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莆田市市场监督管理局    </w:t>
      </w: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r>
        <w:rPr>
          <w:rFonts w:hint="eastAsia" w:ascii="仿宋_GB2312" w:hAnsi="仿宋_GB2312" w:eastAsia="仿宋_GB2312"/>
          <w:spacing w:val="-3"/>
          <w:sz w:val="32"/>
          <w:szCs w:val="32"/>
        </w:rPr>
        <w:t xml:space="preserve">                          </w:t>
      </w:r>
      <w:r>
        <w:rPr>
          <w:rFonts w:hint="eastAsia" w:ascii="仿宋_GB2312" w:hAnsi="仿宋_GB2312" w:eastAsia="仿宋_GB2312"/>
          <w:spacing w:val="-3"/>
          <w:sz w:val="32"/>
          <w:szCs w:val="32"/>
          <w:lang w:val="en-US" w:eastAsia="zh-CN"/>
        </w:rPr>
        <w:t xml:space="preserve">  </w:t>
      </w:r>
      <w:r>
        <w:rPr>
          <w:rFonts w:hint="eastAsia" w:ascii="仿宋_GB2312" w:hAnsi="仿宋_GB2312" w:eastAsia="仿宋_GB2312"/>
          <w:spacing w:val="-3"/>
          <w:sz w:val="32"/>
          <w:szCs w:val="32"/>
        </w:rPr>
        <w:t xml:space="preserve">   202</w:t>
      </w:r>
      <w:r>
        <w:rPr>
          <w:rFonts w:hint="eastAsia" w:ascii="仿宋_GB2312" w:hAnsi="仿宋_GB2312" w:eastAsia="仿宋_GB2312"/>
          <w:spacing w:val="-3"/>
          <w:sz w:val="32"/>
          <w:szCs w:val="32"/>
          <w:lang w:val="en-US" w:eastAsia="zh-CN"/>
        </w:rPr>
        <w:t>4</w:t>
      </w:r>
      <w:r>
        <w:rPr>
          <w:rFonts w:hint="eastAsia" w:ascii="仿宋_GB2312" w:hAnsi="仿宋_GB2312" w:eastAsia="仿宋_GB2312" w:cs="仿宋_GB2312"/>
          <w:spacing w:val="-3"/>
          <w:sz w:val="32"/>
          <w:szCs w:val="32"/>
        </w:rPr>
        <w:t>年2月</w:t>
      </w:r>
      <w:r>
        <w:rPr>
          <w:rFonts w:hint="eastAsia" w:ascii="仿宋_GB2312" w:hAnsi="仿宋_GB2312" w:eastAsia="仿宋_GB2312" w:cs="仿宋_GB2312"/>
          <w:spacing w:val="-3"/>
          <w:sz w:val="32"/>
          <w:szCs w:val="32"/>
          <w:lang w:val="en-US" w:eastAsia="zh-CN"/>
        </w:rPr>
        <w:t>26</w:t>
      </w:r>
      <w:r>
        <w:rPr>
          <w:rFonts w:hint="eastAsia" w:ascii="仿宋_GB2312" w:hAnsi="仿宋_GB2312" w:eastAsia="仿宋_GB2312" w:cs="仿宋_GB2312"/>
          <w:spacing w:val="-3"/>
          <w:sz w:val="32"/>
          <w:szCs w:val="32"/>
        </w:rPr>
        <w:t>日</w:t>
      </w: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keepNext w:val="0"/>
        <w:keepLines w:val="0"/>
        <w:pageBreakBefore w:val="0"/>
        <w:widowControl w:val="0"/>
        <w:kinsoku/>
        <w:wordWrap/>
        <w:overflowPunct/>
        <w:topLinePunct w:val="0"/>
        <w:autoSpaceDE w:val="0"/>
        <w:autoSpaceDN/>
        <w:bidi w:val="0"/>
        <w:adjustRightInd/>
        <w:snapToGrid/>
        <w:spacing w:line="500" w:lineRule="exact"/>
        <w:jc w:val="center"/>
        <w:textAlignment w:val="auto"/>
        <w:rPr>
          <w:rFonts w:ascii="黑体" w:hAnsi="黑体" w:eastAsia="黑体"/>
          <w:sz w:val="28"/>
          <w:szCs w:val="28"/>
        </w:rPr>
      </w:pPr>
      <w:r>
        <w:rPr>
          <w:rFonts w:hint="eastAsia" w:ascii="黑体" w:hAnsi="黑体" w:eastAsia="黑体" w:cs="黑体"/>
          <w:sz w:val="30"/>
          <w:szCs w:val="30"/>
        </w:rPr>
        <w:t>（市场监督管理部门将依法向社会公示本行政处罚决定信息）</w:t>
      </w:r>
    </w:p>
    <w:p>
      <w:pPr>
        <w:keepNext w:val="0"/>
        <w:keepLines w:val="0"/>
        <w:pageBreakBefore w:val="0"/>
        <w:widowControl w:val="0"/>
        <w:kinsoku/>
        <w:wordWrap/>
        <w:overflowPunct/>
        <w:topLinePunct w:val="0"/>
        <w:autoSpaceDN/>
        <w:bidi w:val="0"/>
        <w:adjustRightInd/>
        <w:snapToGrid/>
        <w:spacing w:line="500" w:lineRule="exact"/>
        <w:textAlignment w:val="auto"/>
        <w:rPr>
          <w:rFonts w:eastAsia="仿宋_GB2312"/>
          <w:sz w:val="32"/>
          <w:szCs w:val="32"/>
        </w:rPr>
      </w:pPr>
      <w: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3"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h0Z9dUAAAAHAQAADwAAAAAAAAABACAAAAAiAAAAZHJz&#10;L2Rvd25yZXYueG1sUEsBAhQAFAAAAAgAh07iQK8zkSXOAQAAkAMAAA4AAAAAAAAAAQAgAAAAJAEA&#10;AGRycy9lMm9Eb2MueG1sUEsFBgAAAAAGAAYAWQEAAGQFAAAAAA==&#10;">
                <v:fill on="f" focussize="0,0"/>
                <v:stroke weight="1.25pt" color="#000000" joinstyle="round"/>
                <v:imagedata o:title=""/>
                <o:lock v:ext="edit" aspectratio="f"/>
              </v:line>
            </w:pict>
          </mc:Fallback>
        </mc:AlternateContent>
      </w:r>
    </w:p>
    <w:p>
      <w:pPr>
        <w:keepNext w:val="0"/>
        <w:keepLines w:val="0"/>
        <w:pageBreakBefore w:val="0"/>
        <w:widowControl w:val="0"/>
        <w:tabs>
          <w:tab w:val="left" w:pos="8848"/>
        </w:tabs>
        <w:kinsoku/>
        <w:wordWrap/>
        <w:overflowPunct/>
        <w:topLinePunct w:val="0"/>
        <w:autoSpaceDE/>
        <w:autoSpaceDN/>
        <w:bidi w:val="0"/>
        <w:adjustRightInd/>
        <w:snapToGrid/>
        <w:spacing w:line="560" w:lineRule="exact"/>
        <w:ind w:left="-105" w:leftChars="-50" w:right="-105" w:rightChars="-50"/>
        <w:jc w:val="center"/>
        <w:textAlignment w:val="auto"/>
        <w:rPr>
          <w:rFonts w:hint="eastAsia" w:ascii="仿宋_GB2312" w:hAnsi="仿宋_GB2312" w:eastAsia="仿宋_GB2312"/>
          <w:spacing w:val="-3"/>
          <w:sz w:val="32"/>
          <w:szCs w:val="32"/>
        </w:rPr>
        <w:sectPr>
          <w:footerReference r:id="rId3" w:type="default"/>
          <w:pgSz w:w="11906" w:h="16838"/>
          <w:pgMar w:top="1440" w:right="1803" w:bottom="1440" w:left="1803" w:header="851" w:footer="1418" w:gutter="0"/>
          <w:cols w:space="720" w:num="1"/>
          <w:docGrid w:type="lines" w:linePitch="579" w:charSpace="0"/>
        </w:sect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线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n6FLnSAQAAjgMAAA4AAAAAAAAAAQAg&#10;AAAAJgEAAGRycy9lMm9Eb2MueG1sUEsFBgAAAAAGAAYAWQEAAGoFAAAAAA==&#10;">
                <v:fill on="f" focussize="0,0"/>
                <v:stroke weight="0.737007874015748pt" color="#000000" joinstyle="round" endcap="square"/>
                <v:imagedata o:title=""/>
                <o:lock v:ext="edit" aspectratio="f"/>
              </v:line>
            </w:pict>
          </mc:Fallback>
        </mc:AlternateContent>
      </w:r>
      <w:r>
        <w:rPr>
          <w:rFonts w:hint="eastAsia" w:eastAsia="仿宋_GB2312" w:cs="仿宋_GB2312"/>
          <w:sz w:val="32"/>
          <w:szCs w:val="32"/>
        </w:rPr>
        <w:t>本文书一式四份，二份送达，一份归档，一份交财务部门留存。</w:t>
      </w:r>
    </w:p>
    <w:p>
      <w:pPr>
        <w:spacing w:line="560" w:lineRule="exact"/>
        <w:rPr>
          <w:rFonts w:hint="eastAsia" w:ascii="仿宋_GB2312" w:hAnsi="仿宋_GB2312" w:eastAsia="仿宋_GB2312"/>
          <w:spacing w:val="-3"/>
          <w:sz w:val="32"/>
          <w:szCs w:val="32"/>
        </w:rPr>
      </w:pPr>
      <w:r>
        <w:rPr>
          <w:rFonts w:hint="eastAsia" w:ascii="仿宋_GB2312" w:hAnsi="仿宋_GB2312" w:eastAsia="仿宋_GB2312"/>
          <w:spacing w:val="-3"/>
          <w:sz w:val="32"/>
          <w:szCs w:val="32"/>
        </w:rPr>
        <w:t>附页：本行政处罚决定书引用的法条内容。</w:t>
      </w:r>
    </w:p>
    <w:p>
      <w:pPr>
        <w:spacing w:line="4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《中华人民共和国食品安全法》第六十五条：</w:t>
      </w:r>
    </w:p>
    <w:p>
      <w:pPr>
        <w:spacing w:line="4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食用农产品销售者应当建立食用农产品进货查验记录制度，如实记录食用农产品的名称、数量、进货日期以及供货者名称、地址、联系方式等内容，并保存相关凭证。记录和凭证保存期限不得少于六个月。</w:t>
      </w:r>
    </w:p>
    <w:p>
      <w:pPr>
        <w:spacing w:line="4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《中华人民共和国食品安全法》第一百二十六条第一款第（三）项</w:t>
      </w:r>
    </w:p>
    <w:p>
      <w:pPr>
        <w:spacing w:line="4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违反本法规定，有下列情形之一的，由县级以上人民政府食品安全监督管理部门责令改正，给予警告；拒不改正的，处五千元以上五万元以下罚款；情节严重的，责令停产停业，直至吊销许可证：</w:t>
      </w:r>
    </w:p>
    <w:p>
      <w:pPr>
        <w:spacing w:line="4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（三）食品、食品添加剂生产经营者进货时未查验许可证和相关证明文件，或者未按规定建立并遵守进货查验记录、出厂检验记录和销售记录制度；</w:t>
      </w:r>
    </w:p>
    <w:p>
      <w:pPr>
        <w:spacing w:line="4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《中华人民共和国食品安全法》第一百二十六条第四款</w:t>
      </w:r>
    </w:p>
    <w:p>
      <w:pPr>
        <w:spacing w:line="480" w:lineRule="exact"/>
        <w:ind w:firstLine="640" w:firstLineChars="200"/>
        <w:rPr>
          <w:rFonts w:hint="eastAsia" w:ascii="仿宋_GB2312" w:hAnsi="仿宋" w:eastAsia="仿宋_GB2312"/>
          <w:b/>
          <w:sz w:val="32"/>
          <w:szCs w:val="32"/>
        </w:rPr>
      </w:pPr>
      <w:r>
        <w:rPr>
          <w:rFonts w:hint="eastAsia" w:ascii="仿宋_GB2312" w:hAnsi="仿宋" w:eastAsia="仿宋_GB2312"/>
          <w:color w:val="000000"/>
          <w:sz w:val="32"/>
          <w:szCs w:val="32"/>
        </w:rPr>
        <w:t>食用农产品销售者违反本法第六十五条规定的，由县级以上人民政府食品安全监督管理部门依照第一款规定给予处罚。</w:t>
      </w:r>
    </w:p>
    <w:p>
      <w:pPr>
        <w:spacing w:line="4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《中华人民共和国食品安全法》第三十四条第（二）项：</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禁止生产经营下列食品、食品添加剂、食品相关产品：</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（二）致病性微生物，农药残留、兽药残留、生物毒素、重金属等污染物质以及其他危害人体健康的物质含量超过食品安全标准限量的食品、食品添加剂、食品相关产品；</w:t>
      </w:r>
    </w:p>
    <w:p>
      <w:pPr>
        <w:spacing w:line="4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《中华人民共和国食品安全法》第一百二十四条第一款第(一）项：</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（一）生产经营致病性微生物，农药残留、兽药残留、生物毒素、重金属等污染物质以及其他危害人体健康的物质含量超过食品安全标准限量的食品、食品添加剂；</w:t>
      </w:r>
    </w:p>
    <w:p>
      <w:pPr>
        <w:spacing w:line="4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《中华人民共和国行政处罚法》第二十八条：</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行政机关实施行政处罚时，应当责令当事人改正或者限期改正违法行为。</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当事人有违法所得，除依法应当退赔的外，应当予以没收。违法所得是指实施违法行为所取得的款项。法律、行政法规、部门规章对违法所得的计算另有规定的，从其规定。</w:t>
      </w:r>
    </w:p>
    <w:p>
      <w:pPr>
        <w:spacing w:line="4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《中华人民共和国行政处罚法》第三十二条：</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当事人有下列情形之一，应当从轻或者减轻行政处罚：</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（一）主动消除或者减轻违法行为危害后果的；</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（二）受他人胁迫或者诱骗实施违法行为的；</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（三）主动供述行政机关尚未掌握的违法行为的；</w:t>
      </w:r>
    </w:p>
    <w:p>
      <w:pPr>
        <w:autoSpaceDE w:val="0"/>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（四）配合行政机关查处违法行为有立功表现的；</w:t>
      </w:r>
    </w:p>
    <w:p>
      <w:pPr>
        <w:autoSpaceDE w:val="0"/>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（五）法律、法规、规章规定其他应当从轻或者减轻行政处罚的</w:t>
      </w:r>
    </w:p>
    <w:p>
      <w:pPr>
        <w:spacing w:line="520" w:lineRule="exact"/>
        <w:ind w:firstLine="640" w:firstLineChars="200"/>
        <w:rPr>
          <w:rFonts w:hint="eastAsia" w:ascii="仿宋_GB2312" w:hAnsi="仿宋" w:eastAsia="仿宋_GB2312"/>
          <w:sz w:val="32"/>
          <w:szCs w:val="32"/>
        </w:rPr>
      </w:pPr>
    </w:p>
    <w:p>
      <w:pPr>
        <w:rPr>
          <w:rFonts w:hint="eastAsia"/>
        </w:rPr>
      </w:pPr>
    </w:p>
    <w:p>
      <w:pPr>
        <w:autoSpaceDE w:val="0"/>
        <w:spacing w:line="480" w:lineRule="exact"/>
        <w:ind w:firstLine="420" w:firstLineChars="200"/>
        <w:rPr>
          <w:rFonts w:hint="eastAsia"/>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388"/>
        <w:tab w:val="center" w:pos="4539"/>
      </w:tabs>
      <w:jc w:val="left"/>
      <w:rPr>
        <w:rFonts w:hint="eastAsia"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posOffset>2169795</wp:posOffset>
              </wp:positionH>
              <wp:positionV relativeFrom="paragraph">
                <wp:posOffset>0</wp:posOffset>
              </wp:positionV>
              <wp:extent cx="1156335" cy="230505"/>
              <wp:effectExtent l="0" t="0" r="0" b="0"/>
              <wp:wrapNone/>
              <wp:docPr id="5" name="文本框2"/>
              <wp:cNvGraphicFramePr/>
              <a:graphic xmlns:a="http://schemas.openxmlformats.org/drawingml/2006/main">
                <a:graphicData uri="http://schemas.microsoft.com/office/word/2010/wordprocessingShape">
                  <wps:wsp>
                    <wps:cNvSpPr/>
                    <wps:spPr>
                      <a:xfrm>
                        <a:off x="0" y="0"/>
                        <a:ext cx="1156335" cy="230505"/>
                      </a:xfrm>
                      <a:prstGeom prst="rect">
                        <a:avLst/>
                      </a:prstGeom>
                      <a:noFill/>
                      <a:ln>
                        <a:noFill/>
                      </a:ln>
                    </wps:spPr>
                    <wps:txbx>
                      <w:txbxContent>
                        <w:p>
                          <w:pPr>
                            <w:pStyle w:val="4"/>
                            <w:jc w:val="center"/>
                          </w:pPr>
                          <w:r>
                            <w:rPr>
                              <w:rFonts w:hint="eastAsia" w:ascii="宋体" w:hAnsi="宋体"/>
                              <w:sz w:val="28"/>
                              <w:szCs w:val="28"/>
                            </w:rPr>
                            <w:t>第</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4</w:t>
                          </w:r>
                          <w:r>
                            <w:rPr>
                              <w:rFonts w:ascii="宋体" w:hAnsi="宋体"/>
                              <w:sz w:val="28"/>
                              <w:szCs w:val="28"/>
                            </w:rPr>
                            <w:fldChar w:fldCharType="end"/>
                          </w:r>
                          <w:r>
                            <w:rPr>
                              <w:rFonts w:hint="eastAsia" w:ascii="宋体" w:hAnsi="宋体"/>
                              <w:sz w:val="28"/>
                              <w:szCs w:val="28"/>
                              <w:lang w:val="en-US" w:eastAsia="zh-CN"/>
                            </w:rPr>
                            <w:t xml:space="preserve"> </w:t>
                          </w:r>
                          <w:r>
                            <w:rPr>
                              <w:rStyle w:val="10"/>
                              <w:rFonts w:hint="eastAsia" w:ascii="宋体" w:hAnsi="宋体"/>
                              <w:sz w:val="28"/>
                              <w:szCs w:val="28"/>
                            </w:rPr>
                            <w:t>页 共</w:t>
                          </w:r>
                          <w:r>
                            <w:rPr>
                              <w:rFonts w:hint="eastAsia" w:ascii="宋体" w:hAnsi="宋体"/>
                              <w:sz w:val="28"/>
                              <w:szCs w:val="28"/>
                              <w:lang w:val="en-US" w:eastAsia="zh-CN"/>
                            </w:rPr>
                            <w:t>5</w:t>
                          </w:r>
                          <w:r>
                            <w:rPr>
                              <w:rStyle w:val="10"/>
                              <w:rFonts w:hint="eastAsia" w:ascii="宋体" w:hAnsi="宋体"/>
                              <w:sz w:val="28"/>
                              <w:szCs w:val="28"/>
                            </w:rPr>
                            <w:t>页</w:t>
                          </w:r>
                        </w:p>
                      </w:txbxContent>
                    </wps:txbx>
                    <wps:bodyPr wrap="none" lIns="0" tIns="0" rIns="0" bIns="0" upright="0">
                      <a:spAutoFit/>
                    </wps:bodyPr>
                  </wps:wsp>
                </a:graphicData>
              </a:graphic>
            </wp:anchor>
          </w:drawing>
        </mc:Choice>
        <mc:Fallback>
          <w:pict>
            <v:rect id="文本框2" o:spid="_x0000_s1026" o:spt="1" style="position:absolute;left:0pt;margin-left:170.85pt;margin-top:0pt;height:18.15pt;width:91.05pt;mso-position-horizontal-relative:margin;mso-wrap-style:none;z-index:251659264;mso-width-relative:page;mso-height-relative:page;" filled="f" stroked="f" coordsize="21600,21600" o:gfxdata="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1x8APUAAAABwEA&#10;AA8AAAAAAAAAAQAgAAAAIgAAAGRycy9kb3ducmV2LnhtbFBLAQIUABQAAAAIAIdO4kArKyKrrAEA&#10;AD8DAAAOAAAAAAAAAAEAIAAAACMBAABkcnMvZTJvRG9jLnhtbFBLBQYAAAAABgAGAFkBAABBBQAA&#10;AAA=&#10;">
              <v:fill on="f" focussize="0,0"/>
              <v:stroke on="f"/>
              <v:imagedata o:title=""/>
              <o:lock v:ext="edit" aspectratio="f"/>
              <v:textbox inset="0mm,0mm,0mm,0mm" style="mso-fit-shape-to-text:t;">
                <w:txbxContent>
                  <w:p>
                    <w:pPr>
                      <w:pStyle w:val="4"/>
                      <w:jc w:val="center"/>
                    </w:pPr>
                    <w:r>
                      <w:rPr>
                        <w:rFonts w:hint="eastAsia" w:ascii="宋体" w:hAnsi="宋体"/>
                        <w:sz w:val="28"/>
                        <w:szCs w:val="28"/>
                      </w:rPr>
                      <w:t>第</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4</w:t>
                    </w:r>
                    <w:r>
                      <w:rPr>
                        <w:rFonts w:ascii="宋体" w:hAnsi="宋体"/>
                        <w:sz w:val="28"/>
                        <w:szCs w:val="28"/>
                      </w:rPr>
                      <w:fldChar w:fldCharType="end"/>
                    </w:r>
                    <w:r>
                      <w:rPr>
                        <w:rFonts w:hint="eastAsia" w:ascii="宋体" w:hAnsi="宋体"/>
                        <w:sz w:val="28"/>
                        <w:szCs w:val="28"/>
                        <w:lang w:val="en-US" w:eastAsia="zh-CN"/>
                      </w:rPr>
                      <w:t xml:space="preserve"> </w:t>
                    </w:r>
                    <w:r>
                      <w:rPr>
                        <w:rStyle w:val="10"/>
                        <w:rFonts w:hint="eastAsia" w:ascii="宋体" w:hAnsi="宋体"/>
                        <w:sz w:val="28"/>
                        <w:szCs w:val="28"/>
                      </w:rPr>
                      <w:t>页 共</w:t>
                    </w:r>
                    <w:r>
                      <w:rPr>
                        <w:rFonts w:hint="eastAsia" w:ascii="宋体" w:hAnsi="宋体"/>
                        <w:sz w:val="28"/>
                        <w:szCs w:val="28"/>
                        <w:lang w:val="en-US" w:eastAsia="zh-CN"/>
                      </w:rPr>
                      <w:t>5</w:t>
                    </w:r>
                    <w:r>
                      <w:rPr>
                        <w:rStyle w:val="10"/>
                        <w:rFonts w:hint="eastAsia" w:ascii="宋体" w:hAnsi="宋体"/>
                        <w:sz w:val="28"/>
                        <w:szCs w:val="28"/>
                      </w:rPr>
                      <w:t>页</w:t>
                    </w:r>
                  </w:p>
                </w:txbxContent>
              </v:textbox>
            </v:rect>
          </w:pict>
        </mc:Fallback>
      </mc:AlternateContent>
    </w:r>
    <w:r>
      <w:rPr>
        <w:rFonts w:hint="eastAsia" w:ascii="宋体" w:hAnsi="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FD"/>
    <w:rsid w:val="00007C5F"/>
    <w:rsid w:val="00020003"/>
    <w:rsid w:val="00026505"/>
    <w:rsid w:val="00040061"/>
    <w:rsid w:val="00042902"/>
    <w:rsid w:val="00055ADF"/>
    <w:rsid w:val="00061900"/>
    <w:rsid w:val="000673D2"/>
    <w:rsid w:val="00067C9A"/>
    <w:rsid w:val="000762A2"/>
    <w:rsid w:val="00076A36"/>
    <w:rsid w:val="00092E13"/>
    <w:rsid w:val="0009656A"/>
    <w:rsid w:val="000A038E"/>
    <w:rsid w:val="000A19FD"/>
    <w:rsid w:val="000A2C26"/>
    <w:rsid w:val="000E1196"/>
    <w:rsid w:val="000E6F12"/>
    <w:rsid w:val="00100B25"/>
    <w:rsid w:val="00102FEB"/>
    <w:rsid w:val="00122D75"/>
    <w:rsid w:val="00136B5E"/>
    <w:rsid w:val="0015214D"/>
    <w:rsid w:val="0015284F"/>
    <w:rsid w:val="001544B0"/>
    <w:rsid w:val="00160674"/>
    <w:rsid w:val="001621CB"/>
    <w:rsid w:val="0016381F"/>
    <w:rsid w:val="0016531F"/>
    <w:rsid w:val="0017585B"/>
    <w:rsid w:val="001937BD"/>
    <w:rsid w:val="001A651E"/>
    <w:rsid w:val="001B0B2F"/>
    <w:rsid w:val="001B5F59"/>
    <w:rsid w:val="001B78AA"/>
    <w:rsid w:val="001B78B7"/>
    <w:rsid w:val="001C55A7"/>
    <w:rsid w:val="001D2399"/>
    <w:rsid w:val="001D4CAC"/>
    <w:rsid w:val="001E3D4C"/>
    <w:rsid w:val="001E7D77"/>
    <w:rsid w:val="001F28A3"/>
    <w:rsid w:val="002036F8"/>
    <w:rsid w:val="0022086B"/>
    <w:rsid w:val="00220AF4"/>
    <w:rsid w:val="00227DB9"/>
    <w:rsid w:val="00244875"/>
    <w:rsid w:val="00245EF2"/>
    <w:rsid w:val="00262994"/>
    <w:rsid w:val="00265423"/>
    <w:rsid w:val="002673A0"/>
    <w:rsid w:val="00271341"/>
    <w:rsid w:val="00290DB2"/>
    <w:rsid w:val="00294891"/>
    <w:rsid w:val="002956EA"/>
    <w:rsid w:val="002A27C9"/>
    <w:rsid w:val="002C1AF8"/>
    <w:rsid w:val="002C50D3"/>
    <w:rsid w:val="002D55F2"/>
    <w:rsid w:val="002E1DFF"/>
    <w:rsid w:val="002F5116"/>
    <w:rsid w:val="00302665"/>
    <w:rsid w:val="00305D16"/>
    <w:rsid w:val="0031246D"/>
    <w:rsid w:val="003253A3"/>
    <w:rsid w:val="00334CE1"/>
    <w:rsid w:val="00335406"/>
    <w:rsid w:val="0033626F"/>
    <w:rsid w:val="00340B76"/>
    <w:rsid w:val="00341EBB"/>
    <w:rsid w:val="003547C9"/>
    <w:rsid w:val="00355313"/>
    <w:rsid w:val="0036090F"/>
    <w:rsid w:val="00361DEA"/>
    <w:rsid w:val="00365D6A"/>
    <w:rsid w:val="00367BC0"/>
    <w:rsid w:val="0038020F"/>
    <w:rsid w:val="003939DD"/>
    <w:rsid w:val="003A1F77"/>
    <w:rsid w:val="003A5B9C"/>
    <w:rsid w:val="003A726D"/>
    <w:rsid w:val="003B0167"/>
    <w:rsid w:val="003B5510"/>
    <w:rsid w:val="003C5985"/>
    <w:rsid w:val="003D212E"/>
    <w:rsid w:val="003F0880"/>
    <w:rsid w:val="003F10EC"/>
    <w:rsid w:val="003F3973"/>
    <w:rsid w:val="003F6A94"/>
    <w:rsid w:val="003F78B3"/>
    <w:rsid w:val="00401B48"/>
    <w:rsid w:val="0040225D"/>
    <w:rsid w:val="00414DD9"/>
    <w:rsid w:val="00425782"/>
    <w:rsid w:val="00425B94"/>
    <w:rsid w:val="00434833"/>
    <w:rsid w:val="0044068A"/>
    <w:rsid w:val="00452974"/>
    <w:rsid w:val="0046297B"/>
    <w:rsid w:val="00476B98"/>
    <w:rsid w:val="004A3873"/>
    <w:rsid w:val="004A49BA"/>
    <w:rsid w:val="004A6FDE"/>
    <w:rsid w:val="004B03FE"/>
    <w:rsid w:val="004B5CE2"/>
    <w:rsid w:val="004C141D"/>
    <w:rsid w:val="004C2EC8"/>
    <w:rsid w:val="004C7F9E"/>
    <w:rsid w:val="004E06FB"/>
    <w:rsid w:val="004E3E19"/>
    <w:rsid w:val="004F307B"/>
    <w:rsid w:val="005106F6"/>
    <w:rsid w:val="00541265"/>
    <w:rsid w:val="0055175D"/>
    <w:rsid w:val="00557F80"/>
    <w:rsid w:val="005616A3"/>
    <w:rsid w:val="005672B6"/>
    <w:rsid w:val="00572589"/>
    <w:rsid w:val="00575650"/>
    <w:rsid w:val="00582B5B"/>
    <w:rsid w:val="0058517F"/>
    <w:rsid w:val="005C1D01"/>
    <w:rsid w:val="005C3898"/>
    <w:rsid w:val="005D3D29"/>
    <w:rsid w:val="005E215A"/>
    <w:rsid w:val="005F11B0"/>
    <w:rsid w:val="005F7A78"/>
    <w:rsid w:val="00604E60"/>
    <w:rsid w:val="00615B67"/>
    <w:rsid w:val="00623F45"/>
    <w:rsid w:val="00631491"/>
    <w:rsid w:val="00640D7F"/>
    <w:rsid w:val="00644482"/>
    <w:rsid w:val="00660E18"/>
    <w:rsid w:val="00665C8A"/>
    <w:rsid w:val="00680F35"/>
    <w:rsid w:val="006845A7"/>
    <w:rsid w:val="00685FDE"/>
    <w:rsid w:val="00690D53"/>
    <w:rsid w:val="006B2415"/>
    <w:rsid w:val="006D56C2"/>
    <w:rsid w:val="006E4499"/>
    <w:rsid w:val="006E5896"/>
    <w:rsid w:val="006F41AF"/>
    <w:rsid w:val="0070442A"/>
    <w:rsid w:val="007076E0"/>
    <w:rsid w:val="007201E5"/>
    <w:rsid w:val="007217D2"/>
    <w:rsid w:val="00730756"/>
    <w:rsid w:val="00741C5F"/>
    <w:rsid w:val="00751F40"/>
    <w:rsid w:val="00753B9F"/>
    <w:rsid w:val="0075663F"/>
    <w:rsid w:val="007613F5"/>
    <w:rsid w:val="0076309F"/>
    <w:rsid w:val="0077092F"/>
    <w:rsid w:val="00774D53"/>
    <w:rsid w:val="00796C74"/>
    <w:rsid w:val="007B40F7"/>
    <w:rsid w:val="007C0B11"/>
    <w:rsid w:val="007D1080"/>
    <w:rsid w:val="007D1DCA"/>
    <w:rsid w:val="007D27B5"/>
    <w:rsid w:val="007F1631"/>
    <w:rsid w:val="007F2A70"/>
    <w:rsid w:val="00802478"/>
    <w:rsid w:val="008170DF"/>
    <w:rsid w:val="0083102C"/>
    <w:rsid w:val="00834233"/>
    <w:rsid w:val="008415C5"/>
    <w:rsid w:val="008433B9"/>
    <w:rsid w:val="008450FE"/>
    <w:rsid w:val="0085433E"/>
    <w:rsid w:val="008602ED"/>
    <w:rsid w:val="00874CA8"/>
    <w:rsid w:val="008775F6"/>
    <w:rsid w:val="008809A8"/>
    <w:rsid w:val="00882FC4"/>
    <w:rsid w:val="00884ECD"/>
    <w:rsid w:val="0089399F"/>
    <w:rsid w:val="008A3630"/>
    <w:rsid w:val="008B03CF"/>
    <w:rsid w:val="008B2B86"/>
    <w:rsid w:val="008D43D9"/>
    <w:rsid w:val="008D4AD0"/>
    <w:rsid w:val="008D51AE"/>
    <w:rsid w:val="00920994"/>
    <w:rsid w:val="00922885"/>
    <w:rsid w:val="00927C56"/>
    <w:rsid w:val="00933A44"/>
    <w:rsid w:val="009428DB"/>
    <w:rsid w:val="009555F3"/>
    <w:rsid w:val="00957332"/>
    <w:rsid w:val="00960790"/>
    <w:rsid w:val="00964F56"/>
    <w:rsid w:val="00983F7F"/>
    <w:rsid w:val="00985A7D"/>
    <w:rsid w:val="00990DF3"/>
    <w:rsid w:val="0099526E"/>
    <w:rsid w:val="00997CC4"/>
    <w:rsid w:val="009A1FA2"/>
    <w:rsid w:val="009A291A"/>
    <w:rsid w:val="009A2C27"/>
    <w:rsid w:val="009A36EB"/>
    <w:rsid w:val="009A3D18"/>
    <w:rsid w:val="009A6872"/>
    <w:rsid w:val="009A6AA4"/>
    <w:rsid w:val="009A6AC5"/>
    <w:rsid w:val="009B461B"/>
    <w:rsid w:val="009C247F"/>
    <w:rsid w:val="009D2F42"/>
    <w:rsid w:val="009E2C61"/>
    <w:rsid w:val="009E324F"/>
    <w:rsid w:val="009E486E"/>
    <w:rsid w:val="009E7D2F"/>
    <w:rsid w:val="009F13A3"/>
    <w:rsid w:val="009F2A8E"/>
    <w:rsid w:val="00A076B5"/>
    <w:rsid w:val="00A11498"/>
    <w:rsid w:val="00A32282"/>
    <w:rsid w:val="00A34EE4"/>
    <w:rsid w:val="00A364C6"/>
    <w:rsid w:val="00A47845"/>
    <w:rsid w:val="00A62B9C"/>
    <w:rsid w:val="00A71EAA"/>
    <w:rsid w:val="00A8550B"/>
    <w:rsid w:val="00A90B8D"/>
    <w:rsid w:val="00AA3C13"/>
    <w:rsid w:val="00AA4750"/>
    <w:rsid w:val="00AB05F0"/>
    <w:rsid w:val="00AC0822"/>
    <w:rsid w:val="00AC17A6"/>
    <w:rsid w:val="00AC3C1F"/>
    <w:rsid w:val="00AC6268"/>
    <w:rsid w:val="00AC7EFB"/>
    <w:rsid w:val="00AD4C43"/>
    <w:rsid w:val="00AE02FD"/>
    <w:rsid w:val="00AE2A4C"/>
    <w:rsid w:val="00B12E83"/>
    <w:rsid w:val="00B230DA"/>
    <w:rsid w:val="00B34E65"/>
    <w:rsid w:val="00B37A89"/>
    <w:rsid w:val="00B45D2F"/>
    <w:rsid w:val="00B548F3"/>
    <w:rsid w:val="00B56FBB"/>
    <w:rsid w:val="00B6269A"/>
    <w:rsid w:val="00B65207"/>
    <w:rsid w:val="00B65A68"/>
    <w:rsid w:val="00B66F3D"/>
    <w:rsid w:val="00B80E8E"/>
    <w:rsid w:val="00B96A99"/>
    <w:rsid w:val="00BA7B4E"/>
    <w:rsid w:val="00BB0C41"/>
    <w:rsid w:val="00BC2E96"/>
    <w:rsid w:val="00BC6CB1"/>
    <w:rsid w:val="00BE2CAB"/>
    <w:rsid w:val="00BE505C"/>
    <w:rsid w:val="00BF4753"/>
    <w:rsid w:val="00C053B3"/>
    <w:rsid w:val="00C10B54"/>
    <w:rsid w:val="00C12EA8"/>
    <w:rsid w:val="00C15A8C"/>
    <w:rsid w:val="00C17BFB"/>
    <w:rsid w:val="00C25E4F"/>
    <w:rsid w:val="00C32471"/>
    <w:rsid w:val="00C459C7"/>
    <w:rsid w:val="00C47DE6"/>
    <w:rsid w:val="00C51CEC"/>
    <w:rsid w:val="00C53AF3"/>
    <w:rsid w:val="00C53C8D"/>
    <w:rsid w:val="00C5637A"/>
    <w:rsid w:val="00C6250A"/>
    <w:rsid w:val="00C739D4"/>
    <w:rsid w:val="00C7467B"/>
    <w:rsid w:val="00C84D72"/>
    <w:rsid w:val="00C91469"/>
    <w:rsid w:val="00C97B47"/>
    <w:rsid w:val="00CC1EE6"/>
    <w:rsid w:val="00CC2172"/>
    <w:rsid w:val="00CC37C4"/>
    <w:rsid w:val="00CD0491"/>
    <w:rsid w:val="00CD1D4C"/>
    <w:rsid w:val="00CE1E84"/>
    <w:rsid w:val="00D049E4"/>
    <w:rsid w:val="00D05498"/>
    <w:rsid w:val="00D13336"/>
    <w:rsid w:val="00D34986"/>
    <w:rsid w:val="00D43B63"/>
    <w:rsid w:val="00D50F0B"/>
    <w:rsid w:val="00D559E3"/>
    <w:rsid w:val="00D61461"/>
    <w:rsid w:val="00D64780"/>
    <w:rsid w:val="00D66C37"/>
    <w:rsid w:val="00D82456"/>
    <w:rsid w:val="00D82956"/>
    <w:rsid w:val="00D82CF8"/>
    <w:rsid w:val="00D95165"/>
    <w:rsid w:val="00D97500"/>
    <w:rsid w:val="00DA743F"/>
    <w:rsid w:val="00DB7F91"/>
    <w:rsid w:val="00DC0984"/>
    <w:rsid w:val="00DC3A0C"/>
    <w:rsid w:val="00DC3EDC"/>
    <w:rsid w:val="00DC4412"/>
    <w:rsid w:val="00DD01CE"/>
    <w:rsid w:val="00DE3773"/>
    <w:rsid w:val="00DF38A3"/>
    <w:rsid w:val="00E12E87"/>
    <w:rsid w:val="00E14022"/>
    <w:rsid w:val="00E15889"/>
    <w:rsid w:val="00E45661"/>
    <w:rsid w:val="00E5214C"/>
    <w:rsid w:val="00E53C99"/>
    <w:rsid w:val="00E65021"/>
    <w:rsid w:val="00E6741F"/>
    <w:rsid w:val="00E845E7"/>
    <w:rsid w:val="00E86C98"/>
    <w:rsid w:val="00E9385A"/>
    <w:rsid w:val="00E94C1C"/>
    <w:rsid w:val="00E95348"/>
    <w:rsid w:val="00EA2183"/>
    <w:rsid w:val="00EB3A6C"/>
    <w:rsid w:val="00EC6C67"/>
    <w:rsid w:val="00ED349D"/>
    <w:rsid w:val="00ED5635"/>
    <w:rsid w:val="00EF3AAD"/>
    <w:rsid w:val="00EF600E"/>
    <w:rsid w:val="00EF79EB"/>
    <w:rsid w:val="00F11C54"/>
    <w:rsid w:val="00F14DB9"/>
    <w:rsid w:val="00F155C9"/>
    <w:rsid w:val="00F237B8"/>
    <w:rsid w:val="00F26061"/>
    <w:rsid w:val="00F3137A"/>
    <w:rsid w:val="00F32EFC"/>
    <w:rsid w:val="00F351FC"/>
    <w:rsid w:val="00F35EE4"/>
    <w:rsid w:val="00F35FA7"/>
    <w:rsid w:val="00F44C67"/>
    <w:rsid w:val="00F57804"/>
    <w:rsid w:val="00F603B9"/>
    <w:rsid w:val="00F7051C"/>
    <w:rsid w:val="00F727C0"/>
    <w:rsid w:val="00F72958"/>
    <w:rsid w:val="00F773C3"/>
    <w:rsid w:val="00F77C0B"/>
    <w:rsid w:val="00F94E26"/>
    <w:rsid w:val="00F967C8"/>
    <w:rsid w:val="00FA1F9E"/>
    <w:rsid w:val="00FA205A"/>
    <w:rsid w:val="00FA7DBE"/>
    <w:rsid w:val="00FB3D29"/>
    <w:rsid w:val="00FC0261"/>
    <w:rsid w:val="00FC3DD8"/>
    <w:rsid w:val="00FC5E72"/>
    <w:rsid w:val="00FC6BAB"/>
    <w:rsid w:val="00FD737B"/>
    <w:rsid w:val="00FE5708"/>
    <w:rsid w:val="00FF58EF"/>
    <w:rsid w:val="02E2669F"/>
    <w:rsid w:val="038D6376"/>
    <w:rsid w:val="0535501C"/>
    <w:rsid w:val="06032AA5"/>
    <w:rsid w:val="06A80041"/>
    <w:rsid w:val="07157FCA"/>
    <w:rsid w:val="08101815"/>
    <w:rsid w:val="082B14C3"/>
    <w:rsid w:val="0AD65A7A"/>
    <w:rsid w:val="0BBB2AD1"/>
    <w:rsid w:val="0C16330F"/>
    <w:rsid w:val="0E2355A8"/>
    <w:rsid w:val="12103EDC"/>
    <w:rsid w:val="14545966"/>
    <w:rsid w:val="148465FF"/>
    <w:rsid w:val="153E740E"/>
    <w:rsid w:val="1571032D"/>
    <w:rsid w:val="15DC7B10"/>
    <w:rsid w:val="19C35013"/>
    <w:rsid w:val="1A5D3A71"/>
    <w:rsid w:val="1A7E2EE4"/>
    <w:rsid w:val="1DB93609"/>
    <w:rsid w:val="1F6527D7"/>
    <w:rsid w:val="21700E89"/>
    <w:rsid w:val="21FF345A"/>
    <w:rsid w:val="23271E80"/>
    <w:rsid w:val="27F677A2"/>
    <w:rsid w:val="2D8B53BA"/>
    <w:rsid w:val="2EDE7A29"/>
    <w:rsid w:val="30B9145F"/>
    <w:rsid w:val="32DC77A3"/>
    <w:rsid w:val="33805A79"/>
    <w:rsid w:val="34E85DFA"/>
    <w:rsid w:val="35FA3CF9"/>
    <w:rsid w:val="3AA32117"/>
    <w:rsid w:val="3D6A3CBF"/>
    <w:rsid w:val="41480AB2"/>
    <w:rsid w:val="43105E65"/>
    <w:rsid w:val="44453EB7"/>
    <w:rsid w:val="490D3920"/>
    <w:rsid w:val="498853B8"/>
    <w:rsid w:val="4B0F6D73"/>
    <w:rsid w:val="4EFB3B81"/>
    <w:rsid w:val="50FF7AD6"/>
    <w:rsid w:val="54206625"/>
    <w:rsid w:val="555733FB"/>
    <w:rsid w:val="566C0EB6"/>
    <w:rsid w:val="56ED2323"/>
    <w:rsid w:val="5B9959AB"/>
    <w:rsid w:val="5E0C2EA9"/>
    <w:rsid w:val="5E9C1837"/>
    <w:rsid w:val="625D13C6"/>
    <w:rsid w:val="63F93858"/>
    <w:rsid w:val="64600235"/>
    <w:rsid w:val="672C285E"/>
    <w:rsid w:val="67BC4B5E"/>
    <w:rsid w:val="6BEC471A"/>
    <w:rsid w:val="6BEF22D8"/>
    <w:rsid w:val="6C1C74E8"/>
    <w:rsid w:val="6D0511CE"/>
    <w:rsid w:val="6F9A3BD5"/>
    <w:rsid w:val="6FC622AE"/>
    <w:rsid w:val="70127B77"/>
    <w:rsid w:val="70436A40"/>
    <w:rsid w:val="740D7DD4"/>
    <w:rsid w:val="74456CAE"/>
    <w:rsid w:val="747612A7"/>
    <w:rsid w:val="74EB708D"/>
    <w:rsid w:val="786D63AA"/>
    <w:rsid w:val="7A0947C4"/>
    <w:rsid w:val="7F6C65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link w:val="9"/>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adjustRightInd w:val="0"/>
      <w:spacing w:before="100" w:beforeAutospacing="1" w:after="100" w:afterAutospacing="1" w:line="312" w:lineRule="atLeast"/>
      <w:ind w:firstLine="200" w:firstLineChars="200"/>
      <w:jc w:val="left"/>
      <w:textAlignment w:val="baseline"/>
    </w:pPr>
    <w:rPr>
      <w:rFonts w:ascii="Times New Roman" w:hAnsi="Times New Roman"/>
      <w:kern w:val="0"/>
      <w:sz w:val="24"/>
      <w:szCs w:val="24"/>
    </w:rPr>
  </w:style>
  <w:style w:type="paragraph" w:customStyle="1" w:styleId="9">
    <w:name w:val="Char Char Char Char"/>
    <w:basedOn w:val="1"/>
    <w:link w:val="8"/>
    <w:uiPriority w:val="0"/>
    <w:pPr>
      <w:widowControl/>
      <w:spacing w:after="160" w:line="240" w:lineRule="exact"/>
      <w:jc w:val="left"/>
    </w:pPr>
    <w:rPr>
      <w:rFonts w:ascii="Verdana" w:hAnsi="Verdana"/>
      <w:kern w:val="0"/>
      <w:sz w:val="20"/>
      <w:lang w:eastAsia="en-US"/>
    </w:rPr>
  </w:style>
  <w:style w:type="character" w:styleId="10">
    <w:name w:val="page number"/>
    <w:basedOn w:val="8"/>
    <w:qFormat/>
    <w:uiPriority w:val="0"/>
  </w:style>
  <w:style w:type="character" w:styleId="11">
    <w:name w:val="Hyperlink"/>
    <w:basedOn w:val="8"/>
    <w:uiPriority w:val="0"/>
    <w:rPr>
      <w:color w:val="0000FF"/>
      <w:u w:val="single"/>
    </w:rPr>
  </w:style>
  <w:style w:type="paragraph" w:customStyle="1" w:styleId="12">
    <w:name w:val="Char"/>
    <w:basedOn w:val="1"/>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410</Words>
  <Characters>2337</Characters>
  <Lines>19</Lines>
  <Paragraphs>5</Paragraphs>
  <TotalTime>11</TotalTime>
  <ScaleCrop>false</ScaleCrop>
  <LinksUpToDate>false</LinksUpToDate>
  <CharactersWithSpaces>2742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2024-02-19T03:56:00Z</dcterms:created>
  <dc:creator>严杨成</dc:creator>
  <cp:lastModifiedBy>ptgs</cp:lastModifiedBy>
  <cp:lastPrinted>2022-11-17T03:18:00Z</cp:lastPrinted>
  <dcterms:modified xsi:type="dcterms:W3CDTF">2024-02-26T00:56:30Z</dcterms:modified>
  <dc:title>莆田市工商行政管理局发文稿纸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