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DD7" w:rsidRDefault="00303DD7">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303DD7" w:rsidRDefault="00303DD7">
      <w:pPr>
        <w:rPr>
          <w:rFonts w:ascii="宋体"/>
          <w:b/>
          <w:bCs/>
        </w:rPr>
      </w:pPr>
      <w:r>
        <w:rPr>
          <w:noProof/>
        </w:rPr>
        <w:pict>
          <v:line id="Line 2" o:spid="_x0000_s1026" style="position:absolute;left:0;text-align:left;z-index:251658240;visibility:visible" from=".35pt,10.2pt" to="488.1pt,10.2pt" strokecolor="#800008" strokeweight="1pt"/>
        </w:pict>
      </w:r>
    </w:p>
    <w:p w:rsidR="00303DD7" w:rsidRDefault="00303DD7">
      <w:pP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rPr>
          <w:rFonts w:ascii="宋体"/>
          <w:i/>
          <w:iCs/>
        </w:rPr>
      </w:pPr>
    </w:p>
    <w:p w:rsidR="00303DD7" w:rsidRDefault="00303DD7">
      <w:pPr>
        <w:jc w:val="center"/>
      </w:pPr>
    </w:p>
    <w:p w:rsidR="00303DD7" w:rsidRDefault="00303DD7">
      <w:pPr>
        <w:jc w:val="center"/>
      </w:pPr>
    </w:p>
    <w:p w:rsidR="00303DD7" w:rsidRDefault="00303DD7">
      <w:pPr>
        <w:jc w:val="center"/>
      </w:pPr>
    </w:p>
    <w:p w:rsidR="00303DD7" w:rsidRDefault="00303DD7">
      <w:pPr>
        <w:jc w:val="center"/>
      </w:pPr>
      <w:r w:rsidRPr="00A94BF7">
        <w:rPr>
          <w:rFonts w:ascii="黑体" w:eastAsia="黑体" w:hAnsi="宋体" w:cs="黑体" w:hint="eastAsia"/>
          <w:sz w:val="48"/>
          <w:szCs w:val="48"/>
        </w:rPr>
        <w:t>热轧带肋钢筋</w:t>
      </w:r>
    </w:p>
    <w:p w:rsidR="00303DD7" w:rsidRDefault="00303DD7">
      <w:pPr>
        <w:jc w:val="center"/>
      </w:pPr>
    </w:p>
    <w:p w:rsidR="00303DD7" w:rsidRDefault="00303DD7">
      <w:pPr>
        <w:jc w:val="center"/>
      </w:pPr>
    </w:p>
    <w:p w:rsidR="00303DD7" w:rsidRDefault="00303DD7">
      <w:pPr>
        <w:jc w:val="center"/>
      </w:pPr>
    </w:p>
    <w:p w:rsidR="00303DD7" w:rsidRDefault="00303DD7">
      <w:pPr>
        <w:jc w:val="center"/>
      </w:pPr>
    </w:p>
    <w:p w:rsidR="00303DD7" w:rsidRDefault="00303DD7">
      <w:pPr>
        <w:jc w:val="center"/>
      </w:pPr>
    </w:p>
    <w:p w:rsidR="00303DD7" w:rsidRDefault="00303DD7">
      <w:pPr>
        <w:jc w:val="center"/>
      </w:pPr>
    </w:p>
    <w:p w:rsidR="00303DD7" w:rsidRDefault="00303DD7"/>
    <w:p w:rsidR="00303DD7" w:rsidRDefault="00303DD7">
      <w:pPr>
        <w:jc w:val="center"/>
      </w:pPr>
    </w:p>
    <w:p w:rsidR="00303DD7" w:rsidRDefault="00303DD7">
      <w:pPr>
        <w:jc w:val="center"/>
      </w:pPr>
    </w:p>
    <w:p w:rsidR="00303DD7" w:rsidRDefault="00303DD7">
      <w:pPr>
        <w:jc w:val="center"/>
      </w:pPr>
    </w:p>
    <w:p w:rsidR="00303DD7" w:rsidRDefault="00303DD7">
      <w:pPr>
        <w:jc w:val="center"/>
      </w:pPr>
    </w:p>
    <w:p w:rsidR="00303DD7" w:rsidRDefault="00303DD7">
      <w:pPr>
        <w:pStyle w:val="Style1"/>
        <w:rPr>
          <w:rFonts w:cs="Times New Roman"/>
        </w:rPr>
      </w:pPr>
    </w:p>
    <w:p w:rsidR="00303DD7" w:rsidRDefault="00303DD7">
      <w:pPr>
        <w:jc w:val="center"/>
      </w:pPr>
    </w:p>
    <w:p w:rsidR="00303DD7" w:rsidRDefault="00303DD7">
      <w:pPr>
        <w:pStyle w:val="Style1"/>
        <w:rPr>
          <w:rFonts w:cs="Times New Roman"/>
        </w:rPr>
      </w:pPr>
    </w:p>
    <w:p w:rsidR="00303DD7" w:rsidRDefault="00303DD7">
      <w:pPr>
        <w:rPr>
          <w:rFonts w:ascii="黑体" w:eastAsia="黑体" w:hAnsi="宋体"/>
          <w:sz w:val="28"/>
          <w:szCs w:val="28"/>
        </w:rPr>
      </w:pPr>
    </w:p>
    <w:p w:rsidR="00303DD7" w:rsidRDefault="00303DD7">
      <w:pPr>
        <w:rPr>
          <w:u w:val="single"/>
        </w:rPr>
      </w:pPr>
      <w:r>
        <w:rPr>
          <w:noProof/>
        </w:rPr>
        <w:pict>
          <v:line id="Line 3" o:spid="_x0000_s1027" style="position:absolute;left:0;text-align:left;z-index:251659264;visibility:visible" from=".35pt,.6pt" to="488.1pt,.6pt" strokecolor="#800008" strokeweight="1pt"/>
        </w:pict>
      </w:r>
    </w:p>
    <w:p w:rsidR="00303DD7" w:rsidRDefault="00303DD7">
      <w:pPr>
        <w:rPr>
          <w:u w:val="single"/>
        </w:rPr>
      </w:pPr>
    </w:p>
    <w:p w:rsidR="00303DD7" w:rsidRDefault="00303DD7">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03DD7" w:rsidRDefault="00303DD7">
      <w:pPr>
        <w:pStyle w:val="PlainText"/>
        <w:spacing w:line="360" w:lineRule="auto"/>
        <w:jc w:val="center"/>
        <w:rPr>
          <w:rFonts w:hAnsi="宋体" w:cs="Times New Roman"/>
          <w:b/>
          <w:bCs/>
          <w:spacing w:val="-14"/>
          <w:sz w:val="36"/>
          <w:szCs w:val="36"/>
        </w:rPr>
      </w:pPr>
    </w:p>
    <w:p w:rsidR="00303DD7" w:rsidRDefault="00303DD7">
      <w:pPr>
        <w:pStyle w:val="PlainText"/>
        <w:spacing w:line="360" w:lineRule="auto"/>
        <w:jc w:val="center"/>
        <w:rPr>
          <w:rFonts w:hAnsi="宋体" w:cs="Times New Roman"/>
          <w:b/>
          <w:bCs/>
          <w:spacing w:val="-14"/>
          <w:sz w:val="36"/>
          <w:szCs w:val="36"/>
        </w:rPr>
      </w:pPr>
    </w:p>
    <w:p w:rsidR="00303DD7" w:rsidRDefault="00303DD7">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303DD7" w:rsidRDefault="00303DD7">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AutoShape 1026" o:spid="_x0000_s1028" type="#_x0000_t32" style="position:absolute;left:0;text-align:left;margin-left:1.8pt;margin-top:2.6pt;width:484.8pt;height:0;z-index:251660288;visibility:visible"/>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303DD7" w:rsidRDefault="00303DD7" w:rsidP="00F27069">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w:t>
      </w:r>
      <w:r w:rsidRPr="005E08F4">
        <w:rPr>
          <w:rFonts w:ascii="宋体" w:hAnsi="宋体" w:cs="宋体" w:hint="eastAsia"/>
        </w:rPr>
        <w:t>热轧带肋钢筋</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303DD7" w:rsidRDefault="00303DD7" w:rsidP="00F27069">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303DD7" w:rsidRDefault="00303DD7">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303DD7" w:rsidRDefault="00303DD7" w:rsidP="00F27069">
      <w:pPr>
        <w:spacing w:line="360" w:lineRule="auto"/>
        <w:ind w:firstLineChars="200" w:firstLine="31680"/>
        <w:rPr>
          <w:rFonts w:ascii="宋体"/>
          <w:color w:val="000000"/>
        </w:rPr>
      </w:pPr>
      <w:r w:rsidRPr="005E08F4">
        <w:rPr>
          <w:rFonts w:ascii="宋体" w:hAnsi="宋体" w:cs="宋体" w:hint="eastAsia"/>
          <w:color w:val="000000"/>
        </w:rPr>
        <w:t>热轧带肋钢筋</w:t>
      </w:r>
      <w:r>
        <w:rPr>
          <w:rFonts w:ascii="宋体" w:hAnsi="宋体" w:cs="宋体" w:hint="eastAsia"/>
          <w:color w:val="000000"/>
        </w:rPr>
        <w:t>产品分类见表</w:t>
      </w:r>
      <w:r>
        <w:rPr>
          <w:rFonts w:ascii="宋体" w:hAnsi="宋体" w:cs="宋体"/>
          <w:color w:val="000000"/>
        </w:rPr>
        <w:t>1</w:t>
      </w:r>
      <w:r>
        <w:rPr>
          <w:rFonts w:ascii="宋体" w:hAnsi="宋体" w:cs="宋体" w:hint="eastAsia"/>
          <w:color w:val="000000"/>
        </w:rPr>
        <w:t>。</w:t>
      </w:r>
    </w:p>
    <w:p w:rsidR="00303DD7" w:rsidRDefault="00303DD7">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sidRPr="005E08F4">
        <w:rPr>
          <w:rFonts w:ascii="宋体" w:hAnsi="宋体" w:cs="宋体" w:hint="eastAsia"/>
          <w:color w:val="000000"/>
        </w:rPr>
        <w:t>热轧带肋钢筋</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303DD7">
        <w:trPr>
          <w:cantSplit/>
          <w:trHeight w:val="462"/>
          <w:jc w:val="center"/>
        </w:trPr>
        <w:tc>
          <w:tcPr>
            <w:tcW w:w="1303" w:type="pct"/>
            <w:noWrap/>
          </w:tcPr>
          <w:p w:rsidR="00303DD7" w:rsidRDefault="00303DD7">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303DD7" w:rsidRDefault="00303DD7">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303DD7" w:rsidRDefault="00303DD7">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303DD7" w:rsidRDefault="00303DD7">
            <w:pPr>
              <w:spacing w:line="320" w:lineRule="exact"/>
              <w:jc w:val="center"/>
              <w:rPr>
                <w:rFonts w:ascii="宋体"/>
                <w:sz w:val="18"/>
                <w:szCs w:val="18"/>
              </w:rPr>
            </w:pPr>
            <w:r>
              <w:rPr>
                <w:rFonts w:ascii="宋体" w:hAnsi="宋体" w:cs="宋体" w:hint="eastAsia"/>
                <w:sz w:val="18"/>
                <w:szCs w:val="18"/>
              </w:rPr>
              <w:t>三级分类</w:t>
            </w:r>
          </w:p>
        </w:tc>
      </w:tr>
      <w:tr w:rsidR="00303DD7">
        <w:trPr>
          <w:cantSplit/>
          <w:trHeight w:val="453"/>
          <w:jc w:val="center"/>
        </w:trPr>
        <w:tc>
          <w:tcPr>
            <w:tcW w:w="1303" w:type="pct"/>
            <w:noWrap/>
            <w:vAlign w:val="center"/>
          </w:tcPr>
          <w:p w:rsidR="00303DD7" w:rsidRDefault="00303DD7">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303DD7" w:rsidRDefault="00303DD7">
            <w:pPr>
              <w:spacing w:line="320" w:lineRule="exact"/>
              <w:jc w:val="center"/>
              <w:rPr>
                <w:rFonts w:ascii="宋体"/>
                <w:sz w:val="18"/>
                <w:szCs w:val="18"/>
              </w:rPr>
            </w:pPr>
            <w:r>
              <w:rPr>
                <w:rFonts w:ascii="宋体" w:hAnsi="宋体" w:cs="宋体"/>
                <w:sz w:val="18"/>
                <w:szCs w:val="18"/>
              </w:rPr>
              <w:t>4</w:t>
            </w:r>
          </w:p>
        </w:tc>
        <w:tc>
          <w:tcPr>
            <w:tcW w:w="1236" w:type="pct"/>
            <w:noWrap/>
            <w:vAlign w:val="center"/>
          </w:tcPr>
          <w:p w:rsidR="00303DD7" w:rsidRDefault="00303DD7" w:rsidP="00E679B6">
            <w:pPr>
              <w:spacing w:line="320" w:lineRule="exact"/>
              <w:jc w:val="center"/>
              <w:rPr>
                <w:rFonts w:ascii="宋体"/>
                <w:sz w:val="18"/>
                <w:szCs w:val="18"/>
              </w:rPr>
            </w:pPr>
            <w:r>
              <w:rPr>
                <w:rFonts w:ascii="宋体" w:hAnsi="宋体" w:cs="宋体"/>
                <w:sz w:val="18"/>
                <w:szCs w:val="18"/>
              </w:rPr>
              <w:t>4</w:t>
            </w:r>
            <w:r>
              <w:rPr>
                <w:rFonts w:ascii="宋体" w:cs="宋体"/>
                <w:sz w:val="18"/>
                <w:szCs w:val="18"/>
              </w:rPr>
              <w:t>0</w:t>
            </w:r>
            <w:r>
              <w:rPr>
                <w:rFonts w:ascii="宋体" w:hAnsi="宋体" w:cs="宋体"/>
                <w:sz w:val="18"/>
                <w:szCs w:val="18"/>
              </w:rPr>
              <w:t>6</w:t>
            </w:r>
          </w:p>
        </w:tc>
        <w:tc>
          <w:tcPr>
            <w:tcW w:w="1236" w:type="pct"/>
          </w:tcPr>
          <w:p w:rsidR="00303DD7" w:rsidRDefault="00303DD7">
            <w:pPr>
              <w:spacing w:line="320" w:lineRule="exact"/>
              <w:jc w:val="center"/>
              <w:rPr>
                <w:rFonts w:ascii="宋体"/>
                <w:sz w:val="18"/>
                <w:szCs w:val="18"/>
              </w:rPr>
            </w:pPr>
            <w:r>
              <w:rPr>
                <w:rFonts w:ascii="宋体" w:hAnsi="宋体" w:cs="宋体"/>
                <w:sz w:val="18"/>
                <w:szCs w:val="18"/>
              </w:rPr>
              <w:t>406.1</w:t>
            </w:r>
          </w:p>
        </w:tc>
      </w:tr>
      <w:tr w:rsidR="00303DD7">
        <w:trPr>
          <w:cantSplit/>
          <w:trHeight w:val="429"/>
          <w:jc w:val="center"/>
        </w:trPr>
        <w:tc>
          <w:tcPr>
            <w:tcW w:w="1303" w:type="pct"/>
            <w:noWrap/>
            <w:vAlign w:val="center"/>
          </w:tcPr>
          <w:p w:rsidR="00303DD7" w:rsidRDefault="00303DD7">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303DD7" w:rsidRDefault="00303DD7">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303DD7" w:rsidRDefault="00303DD7">
            <w:pPr>
              <w:spacing w:line="320" w:lineRule="exact"/>
              <w:jc w:val="center"/>
              <w:rPr>
                <w:rFonts w:ascii="宋体"/>
                <w:sz w:val="18"/>
                <w:szCs w:val="18"/>
              </w:rPr>
            </w:pPr>
            <w:r>
              <w:rPr>
                <w:rFonts w:ascii="宋体" w:cs="宋体" w:hint="eastAsia"/>
                <w:sz w:val="18"/>
                <w:szCs w:val="18"/>
              </w:rPr>
              <w:t>建筑钢材</w:t>
            </w:r>
          </w:p>
        </w:tc>
        <w:tc>
          <w:tcPr>
            <w:tcW w:w="1236" w:type="pct"/>
          </w:tcPr>
          <w:p w:rsidR="00303DD7" w:rsidRDefault="00303DD7">
            <w:pPr>
              <w:spacing w:line="320" w:lineRule="exact"/>
              <w:jc w:val="center"/>
              <w:rPr>
                <w:rFonts w:ascii="宋体"/>
                <w:sz w:val="18"/>
                <w:szCs w:val="18"/>
              </w:rPr>
            </w:pPr>
            <w:r w:rsidRPr="00E679B6">
              <w:rPr>
                <w:rFonts w:ascii="宋体" w:hAnsi="宋体" w:cs="宋体" w:hint="eastAsia"/>
                <w:sz w:val="18"/>
                <w:szCs w:val="18"/>
              </w:rPr>
              <w:t>热轧带肋钢筋</w:t>
            </w:r>
          </w:p>
        </w:tc>
      </w:tr>
    </w:tbl>
    <w:p w:rsidR="00303DD7" w:rsidRDefault="00303DD7">
      <w:pPr>
        <w:spacing w:line="360" w:lineRule="auto"/>
        <w:jc w:val="center"/>
        <w:rPr>
          <w:rFonts w:ascii="宋体"/>
          <w:color w:val="000000"/>
        </w:rPr>
      </w:pPr>
    </w:p>
    <w:p w:rsidR="00303DD7" w:rsidRDefault="00303DD7">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303DD7" w:rsidRDefault="00303DD7" w:rsidP="00F27069">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303DD7" w:rsidRDefault="00303DD7">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303DD7" w:rsidRDefault="00303DD7" w:rsidP="00F27069">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303DD7" w:rsidRDefault="00303DD7" w:rsidP="00F27069">
      <w:pPr>
        <w:pStyle w:val="BodyText"/>
        <w:ind w:firstLineChars="200" w:firstLine="31680"/>
        <w:rPr>
          <w:rFonts w:cs="Times New Roman"/>
          <w:lang w:val="en-US"/>
        </w:rPr>
      </w:pPr>
      <w:r>
        <w:rPr>
          <w:color w:val="000000"/>
          <w:kern w:val="0"/>
          <w:sz w:val="24"/>
          <w:szCs w:val="24"/>
        </w:rPr>
        <w:t>GB 1499.2-2024</w:t>
      </w:r>
      <w:r>
        <w:rPr>
          <w:rFonts w:hint="eastAsia"/>
          <w:color w:val="000000"/>
          <w:kern w:val="0"/>
          <w:sz w:val="24"/>
          <w:szCs w:val="24"/>
        </w:rPr>
        <w:t>《钢筋混凝土用钢</w:t>
      </w:r>
      <w:r>
        <w:rPr>
          <w:color w:val="000000"/>
          <w:kern w:val="0"/>
          <w:sz w:val="24"/>
          <w:szCs w:val="24"/>
        </w:rPr>
        <w:t xml:space="preserve"> </w:t>
      </w:r>
      <w:r>
        <w:rPr>
          <w:rFonts w:hint="eastAsia"/>
          <w:color w:val="000000"/>
          <w:kern w:val="0"/>
          <w:sz w:val="24"/>
          <w:szCs w:val="24"/>
        </w:rPr>
        <w:t>第</w:t>
      </w:r>
      <w:r>
        <w:rPr>
          <w:color w:val="000000"/>
          <w:kern w:val="0"/>
          <w:sz w:val="24"/>
          <w:szCs w:val="24"/>
        </w:rPr>
        <w:t>2</w:t>
      </w:r>
      <w:r>
        <w:rPr>
          <w:rFonts w:hint="eastAsia"/>
          <w:color w:val="000000"/>
          <w:kern w:val="0"/>
          <w:sz w:val="24"/>
          <w:szCs w:val="24"/>
        </w:rPr>
        <w:t>部分：热轧带肋钢筋》</w:t>
      </w:r>
    </w:p>
    <w:p w:rsidR="00303DD7" w:rsidRDefault="00303DD7" w:rsidP="00F27069">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303DD7" w:rsidRDefault="00303DD7" w:rsidP="00F27069">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303DD7" w:rsidRDefault="00303DD7">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303DD7" w:rsidRDefault="00303DD7">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303DD7" w:rsidRDefault="00303DD7" w:rsidP="00F27069">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303DD7" w:rsidRDefault="00303DD7" w:rsidP="00F27069">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303DD7" w:rsidRDefault="00303DD7">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303DD7" w:rsidRDefault="00303DD7" w:rsidP="00F27069">
      <w:pPr>
        <w:spacing w:line="360" w:lineRule="auto"/>
        <w:ind w:firstLineChars="200" w:firstLine="31680"/>
        <w:rPr>
          <w:rFonts w:ascii="宋体"/>
          <w:color w:val="000000"/>
        </w:rPr>
      </w:pPr>
      <w:r>
        <w:rPr>
          <w:rFonts w:ascii="宋体" w:hAnsi="宋体" w:cs="宋体" w:hint="eastAsia"/>
          <w:color w:val="000000"/>
        </w:rPr>
        <w:t>抽样基数满足抽样数量即可。</w:t>
      </w:r>
    </w:p>
    <w:p w:rsidR="00303DD7" w:rsidRDefault="00303DD7">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303DD7" w:rsidRDefault="00303DD7" w:rsidP="00F27069">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1.2m</w:t>
      </w:r>
      <w:r>
        <w:rPr>
          <w:rFonts w:ascii="宋体" w:hAnsi="宋体" w:cs="宋体" w:hint="eastAsia"/>
        </w:rPr>
        <w:t>×</w:t>
      </w:r>
      <w:r>
        <w:rPr>
          <w:rFonts w:ascii="宋体" w:hAnsi="宋体" w:cs="宋体"/>
        </w:rPr>
        <w:t>10</w:t>
      </w:r>
      <w:r>
        <w:rPr>
          <w:rFonts w:ascii="宋体" w:hAnsi="宋体" w:cs="宋体" w:hint="eastAsia"/>
        </w:rPr>
        <w:t>根，其中</w:t>
      </w:r>
      <w:r>
        <w:rPr>
          <w:rFonts w:ascii="宋体" w:hAnsi="宋体" w:cs="宋体"/>
        </w:rPr>
        <w:t>1.2m</w:t>
      </w:r>
      <w:r>
        <w:rPr>
          <w:rFonts w:ascii="宋体" w:hAnsi="宋体" w:cs="宋体" w:hint="eastAsia"/>
        </w:rPr>
        <w:t>×</w:t>
      </w:r>
      <w:r>
        <w:rPr>
          <w:rFonts w:ascii="宋体" w:hAnsi="宋体" w:cs="宋体"/>
        </w:rPr>
        <w:t>5</w:t>
      </w:r>
      <w:r>
        <w:rPr>
          <w:rFonts w:ascii="宋体" w:hAnsi="宋体" w:cs="宋体" w:hint="eastAsia"/>
        </w:rPr>
        <w:t>根为检验样品，</w:t>
      </w:r>
      <w:r>
        <w:rPr>
          <w:rFonts w:ascii="宋体" w:hAnsi="宋体" w:cs="宋体"/>
        </w:rPr>
        <w:t>1.2m</w:t>
      </w:r>
      <w:r>
        <w:rPr>
          <w:rFonts w:ascii="宋体" w:hAnsi="宋体" w:cs="宋体" w:hint="eastAsia"/>
        </w:rPr>
        <w:t>×</w:t>
      </w:r>
      <w:r>
        <w:rPr>
          <w:rFonts w:ascii="宋体" w:hAnsi="宋体" w:cs="宋体"/>
        </w:rPr>
        <w:t>5</w:t>
      </w:r>
      <w:r>
        <w:rPr>
          <w:rFonts w:ascii="宋体" w:hAnsi="宋体" w:cs="宋体" w:hint="eastAsia"/>
        </w:rPr>
        <w:t>根为备用样品。</w:t>
      </w:r>
      <w:r>
        <w:rPr>
          <w:rFonts w:cs="宋体" w:hint="eastAsia"/>
          <w:color w:val="000000"/>
        </w:rPr>
        <w:t>备用样品放置在被抽检商家。</w:t>
      </w:r>
    </w:p>
    <w:p w:rsidR="00303DD7" w:rsidRDefault="00303DD7">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303DD7" w:rsidRDefault="00303DD7">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03DD7" w:rsidRDefault="00303DD7">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303DD7" w:rsidRDefault="00303DD7">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303DD7" w:rsidRDefault="00303DD7">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Pr="00840A88">
        <w:rPr>
          <w:rFonts w:ascii="宋体" w:hAnsi="宋体" w:cs="宋体" w:hint="eastAsia"/>
        </w:rPr>
        <w:t>热轧带肋钢筋</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303DD7" w:rsidRDefault="00303DD7">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303DD7" w:rsidRDefault="00303DD7">
      <w:pPr>
        <w:pStyle w:val="Style1"/>
        <w:rPr>
          <w:rFonts w:cs="Times New Roman"/>
        </w:rPr>
      </w:pPr>
      <w:r>
        <w:rPr>
          <w:rFonts w:ascii="宋体" w:hAnsi="宋体" w:cs="宋体" w:hint="eastAsia"/>
          <w:spacing w:val="0"/>
          <w:kern w:val="2"/>
          <w:sz w:val="21"/>
          <w:szCs w:val="21"/>
        </w:rPr>
        <w:t>付费购买，或由被抽样商家无偿提供。</w:t>
      </w:r>
    </w:p>
    <w:p w:rsidR="00303DD7" w:rsidRDefault="00303DD7">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303DD7" w:rsidRDefault="00303DD7">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303DD7" w:rsidRDefault="00303DD7">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303DD7" w:rsidRDefault="00303DD7">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bookmarkStart w:id="0" w:name="_GoBack"/>
      <w:bookmarkEnd w:id="0"/>
    </w:p>
    <w:p w:rsidR="00303DD7" w:rsidRDefault="00303DD7">
      <w:pPr>
        <w:rPr>
          <w:rFonts w:ascii="宋体" w:cs="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r>
        <w:rPr>
          <w:rFonts w:ascii="宋体" w:cs="宋体"/>
          <w:color w:val="000000"/>
        </w:rPr>
        <w:t xml:space="preserve">     </w:t>
      </w:r>
    </w:p>
    <w:p w:rsidR="00303DD7" w:rsidRDefault="00303DD7">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Pr>
          <w:rFonts w:ascii="宋体" w:cs="宋体" w:hint="eastAsia"/>
          <w:color w:val="000000"/>
        </w:rPr>
        <w:t>热轧带肋钢筋</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303DD7">
        <w:trPr>
          <w:cantSplit/>
          <w:trHeight w:val="614"/>
        </w:trPr>
        <w:tc>
          <w:tcPr>
            <w:tcW w:w="661" w:type="dxa"/>
            <w:noWrap/>
            <w:vAlign w:val="center"/>
          </w:tcPr>
          <w:p w:rsidR="00303DD7" w:rsidRDefault="00303DD7">
            <w:pPr>
              <w:pStyle w:val="PlainText"/>
              <w:adjustRightInd w:val="0"/>
              <w:snapToGrid w:val="0"/>
              <w:jc w:val="center"/>
              <w:rPr>
                <w:rFonts w:hAnsi="宋体" w:cs="Times New Roman"/>
                <w:color w:val="000000"/>
              </w:rPr>
            </w:pPr>
            <w:r>
              <w:rPr>
                <w:rFonts w:hAnsi="宋体" w:hint="eastAsia"/>
                <w:color w:val="000000"/>
              </w:rPr>
              <w:t>序号</w:t>
            </w:r>
          </w:p>
        </w:tc>
        <w:tc>
          <w:tcPr>
            <w:tcW w:w="1662" w:type="dxa"/>
            <w:noWrap/>
            <w:vAlign w:val="center"/>
          </w:tcPr>
          <w:p w:rsidR="00303DD7" w:rsidRDefault="00303DD7">
            <w:pPr>
              <w:pStyle w:val="PlainText"/>
              <w:adjustRightInd w:val="0"/>
              <w:snapToGrid w:val="0"/>
              <w:jc w:val="center"/>
              <w:rPr>
                <w:rFonts w:hAnsi="宋体" w:cs="Times New Roman"/>
                <w:color w:val="000000"/>
              </w:rPr>
            </w:pPr>
            <w:r>
              <w:rPr>
                <w:rFonts w:hAnsi="宋体" w:hint="eastAsia"/>
                <w:color w:val="000000"/>
              </w:rPr>
              <w:t>检验项目</w:t>
            </w:r>
          </w:p>
        </w:tc>
        <w:tc>
          <w:tcPr>
            <w:tcW w:w="1899" w:type="dxa"/>
            <w:noWrap/>
            <w:vAlign w:val="center"/>
          </w:tcPr>
          <w:p w:rsidR="00303DD7" w:rsidRDefault="00303DD7">
            <w:pPr>
              <w:adjustRightInd w:val="0"/>
              <w:snapToGrid w:val="0"/>
              <w:jc w:val="center"/>
              <w:rPr>
                <w:rFonts w:ascii="宋体"/>
                <w:color w:val="000000"/>
              </w:rPr>
            </w:pPr>
            <w:r>
              <w:rPr>
                <w:rFonts w:ascii="宋体" w:hAnsi="宋体" w:cs="宋体" w:hint="eastAsia"/>
                <w:color w:val="000000"/>
              </w:rPr>
              <w:t>依据标准</w:t>
            </w:r>
          </w:p>
          <w:p w:rsidR="00303DD7" w:rsidRDefault="00303DD7">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303DD7" w:rsidRDefault="00303DD7">
            <w:pPr>
              <w:adjustRightInd w:val="0"/>
              <w:snapToGrid w:val="0"/>
              <w:jc w:val="center"/>
              <w:rPr>
                <w:rFonts w:ascii="宋体"/>
                <w:color w:val="000000"/>
              </w:rPr>
            </w:pPr>
            <w:r>
              <w:rPr>
                <w:rFonts w:ascii="宋体" w:hAnsi="宋体" w:cs="宋体" w:hint="eastAsia"/>
                <w:color w:val="000000"/>
              </w:rPr>
              <w:t>检验方法</w:t>
            </w:r>
          </w:p>
          <w:p w:rsidR="00303DD7" w:rsidRDefault="00303DD7">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303DD7" w:rsidRDefault="00303DD7">
            <w:pPr>
              <w:pStyle w:val="PlainText"/>
              <w:adjustRightInd w:val="0"/>
              <w:snapToGrid w:val="0"/>
              <w:jc w:val="center"/>
              <w:rPr>
                <w:rFonts w:hAnsi="宋体" w:cs="Times New Roman"/>
                <w:color w:val="000000"/>
              </w:rPr>
            </w:pPr>
            <w:r>
              <w:rPr>
                <w:rFonts w:hAnsi="宋体" w:hint="eastAsia"/>
                <w:color w:val="000000"/>
              </w:rPr>
              <w:t>重要程度类别</w:t>
            </w:r>
          </w:p>
        </w:tc>
        <w:tc>
          <w:tcPr>
            <w:tcW w:w="1646" w:type="dxa"/>
            <w:noWrap/>
            <w:vAlign w:val="center"/>
          </w:tcPr>
          <w:p w:rsidR="00303DD7" w:rsidRDefault="00303DD7">
            <w:pPr>
              <w:pStyle w:val="PlainText"/>
              <w:adjustRightInd w:val="0"/>
              <w:snapToGrid w:val="0"/>
              <w:jc w:val="center"/>
              <w:rPr>
                <w:rFonts w:hAnsi="宋体" w:cs="Times New Roman"/>
                <w:color w:val="000000"/>
              </w:rPr>
            </w:pPr>
            <w:r>
              <w:rPr>
                <w:rFonts w:hAnsi="宋体" w:hint="eastAsia"/>
                <w:color w:val="000000"/>
              </w:rPr>
              <w:t>备注</w:t>
            </w:r>
          </w:p>
        </w:tc>
      </w:tr>
      <w:tr w:rsidR="00303DD7">
        <w:trPr>
          <w:cantSplit/>
          <w:trHeight w:val="563"/>
          <w:tblHeader/>
        </w:trPr>
        <w:tc>
          <w:tcPr>
            <w:tcW w:w="661" w:type="dxa"/>
            <w:noWrap/>
            <w:vAlign w:val="center"/>
          </w:tcPr>
          <w:p w:rsidR="00303DD7" w:rsidRDefault="00303DD7" w:rsidP="00FD6667">
            <w:pPr>
              <w:snapToGrid w:val="0"/>
              <w:jc w:val="center"/>
              <w:rPr>
                <w:rFonts w:ascii="宋体"/>
                <w:color w:val="000000"/>
              </w:rPr>
            </w:pPr>
            <w:r>
              <w:rPr>
                <w:rFonts w:ascii="宋体" w:hAnsi="宋体" w:cs="宋体"/>
                <w:color w:val="000000"/>
              </w:rPr>
              <w:t>1</w:t>
            </w:r>
          </w:p>
        </w:tc>
        <w:tc>
          <w:tcPr>
            <w:tcW w:w="1662" w:type="dxa"/>
            <w:noWrap/>
            <w:vAlign w:val="center"/>
          </w:tcPr>
          <w:p w:rsidR="00303DD7" w:rsidRPr="007A1D77" w:rsidRDefault="00303DD7" w:rsidP="00FD6667">
            <w:pPr>
              <w:pStyle w:val="PlainText"/>
              <w:adjustRightInd w:val="0"/>
              <w:snapToGrid w:val="0"/>
              <w:jc w:val="center"/>
              <w:rPr>
                <w:rFonts w:hAnsi="宋体" w:cs="Times New Roman"/>
                <w:color w:val="000000"/>
              </w:rPr>
            </w:pPr>
            <w:r w:rsidRPr="007A1D77">
              <w:rPr>
                <w:rFonts w:hAnsi="宋体" w:hint="eastAsia"/>
                <w:color w:val="000000"/>
              </w:rPr>
              <w:t>力学性能（屈服强度、抗拉强度</w:t>
            </w:r>
            <w:r w:rsidRPr="007A1D77">
              <w:rPr>
                <w:rFonts w:hAnsi="宋体"/>
                <w:color w:val="000000"/>
              </w:rPr>
              <w:t>Rm</w:t>
            </w:r>
            <w:r w:rsidRPr="007A1D77">
              <w:rPr>
                <w:rFonts w:hAnsi="宋体" w:hint="eastAsia"/>
                <w:color w:val="000000"/>
              </w:rPr>
              <w:t>、断后伸长率</w:t>
            </w:r>
            <w:r w:rsidRPr="007A1D77">
              <w:rPr>
                <w:rFonts w:hAnsi="宋体"/>
                <w:color w:val="000000"/>
              </w:rPr>
              <w:t>A</w:t>
            </w:r>
            <w:r w:rsidRPr="007A1D77">
              <w:rPr>
                <w:rFonts w:hAnsi="宋体" w:hint="eastAsia"/>
                <w:color w:val="000000"/>
              </w:rPr>
              <w:t>、实测抗拉强度与实测屈服强度之比</w:t>
            </w:r>
            <w:r w:rsidRPr="007A1D77">
              <w:rPr>
                <w:rFonts w:hAnsi="宋体"/>
                <w:color w:val="000000"/>
              </w:rPr>
              <w:t>R0m/ R0eL</w:t>
            </w:r>
            <w:r w:rsidRPr="007A1D77">
              <w:rPr>
                <w:rFonts w:hAnsi="宋体" w:hint="eastAsia"/>
                <w:color w:val="000000"/>
              </w:rPr>
              <w:t>、实测屈服强度与屈服强度特征值之比</w:t>
            </w:r>
            <w:r w:rsidRPr="007A1D77">
              <w:rPr>
                <w:rFonts w:hAnsi="宋体"/>
                <w:color w:val="000000"/>
              </w:rPr>
              <w:t>R0eL/ ReL</w:t>
            </w:r>
            <w:r w:rsidRPr="007A1D77">
              <w:rPr>
                <w:rFonts w:hAnsi="宋体" w:hint="eastAsia"/>
                <w:color w:val="000000"/>
              </w:rPr>
              <w:t>、最大力总延伸率</w:t>
            </w:r>
            <w:r w:rsidRPr="007A1D77">
              <w:rPr>
                <w:rFonts w:hAnsi="宋体"/>
                <w:color w:val="000000"/>
              </w:rPr>
              <w:t>Agt</w:t>
            </w:r>
            <w:r w:rsidRPr="007A1D77">
              <w:rPr>
                <w:rFonts w:hAnsi="宋体" w:hint="eastAsia"/>
                <w:color w:val="000000"/>
              </w:rPr>
              <w:t>）</w:t>
            </w:r>
          </w:p>
        </w:tc>
        <w:tc>
          <w:tcPr>
            <w:tcW w:w="1899" w:type="dxa"/>
            <w:noWrap/>
            <w:vAlign w:val="center"/>
          </w:tcPr>
          <w:p w:rsidR="00303DD7" w:rsidRDefault="00303DD7" w:rsidP="00FD6667">
            <w:pPr>
              <w:snapToGrid w:val="0"/>
              <w:jc w:val="center"/>
              <w:rPr>
                <w:rFonts w:ascii="宋体"/>
                <w:kern w:val="0"/>
              </w:rPr>
            </w:pPr>
            <w:r w:rsidRPr="00FD6667">
              <w:rPr>
                <w:rFonts w:ascii="宋体" w:hAnsi="宋体" w:cs="宋体"/>
                <w:kern w:val="0"/>
              </w:rPr>
              <w:t>GB 1499.2-2024</w:t>
            </w:r>
          </w:p>
        </w:tc>
        <w:tc>
          <w:tcPr>
            <w:tcW w:w="1754" w:type="dxa"/>
            <w:noWrap/>
            <w:vAlign w:val="center"/>
          </w:tcPr>
          <w:p w:rsidR="00303DD7" w:rsidRDefault="00303DD7" w:rsidP="00FD6667">
            <w:pPr>
              <w:snapToGrid w:val="0"/>
              <w:jc w:val="center"/>
            </w:pPr>
            <w:r w:rsidRPr="00FD6667">
              <w:rPr>
                <w:rFonts w:ascii="宋体" w:hAnsi="宋体" w:cs="宋体"/>
                <w:kern w:val="0"/>
              </w:rPr>
              <w:t>GB 1499.2-2024</w:t>
            </w:r>
          </w:p>
        </w:tc>
        <w:tc>
          <w:tcPr>
            <w:tcW w:w="1187" w:type="dxa"/>
            <w:noWrap/>
            <w:vAlign w:val="center"/>
          </w:tcPr>
          <w:p w:rsidR="00303DD7" w:rsidRDefault="00303DD7" w:rsidP="00FD6667">
            <w:pPr>
              <w:adjustRightInd w:val="0"/>
              <w:snapToGrid w:val="0"/>
              <w:jc w:val="center"/>
              <w:rPr>
                <w:rFonts w:ascii="宋体" w:cs="宋体"/>
              </w:rPr>
            </w:pPr>
            <w:r>
              <w:rPr>
                <w:rFonts w:ascii="宋体" w:cs="宋体"/>
              </w:rPr>
              <w:t>A</w:t>
            </w:r>
          </w:p>
        </w:tc>
        <w:tc>
          <w:tcPr>
            <w:tcW w:w="1646" w:type="dxa"/>
            <w:noWrap/>
            <w:vAlign w:val="center"/>
          </w:tcPr>
          <w:p w:rsidR="00303DD7" w:rsidRDefault="00303DD7" w:rsidP="00FD6667">
            <w:pPr>
              <w:widowControl/>
              <w:adjustRightInd w:val="0"/>
              <w:snapToGrid w:val="0"/>
              <w:jc w:val="center"/>
              <w:rPr>
                <w:rFonts w:ascii="宋体"/>
              </w:rPr>
            </w:pPr>
          </w:p>
        </w:tc>
      </w:tr>
      <w:tr w:rsidR="00303DD7">
        <w:trPr>
          <w:cantSplit/>
          <w:trHeight w:val="267"/>
        </w:trPr>
        <w:tc>
          <w:tcPr>
            <w:tcW w:w="661" w:type="dxa"/>
            <w:noWrap/>
            <w:vAlign w:val="center"/>
          </w:tcPr>
          <w:p w:rsidR="00303DD7" w:rsidRDefault="00303DD7" w:rsidP="00FD6667">
            <w:pPr>
              <w:snapToGrid w:val="0"/>
              <w:jc w:val="center"/>
              <w:rPr>
                <w:rFonts w:ascii="宋体"/>
                <w:color w:val="000000"/>
              </w:rPr>
            </w:pPr>
            <w:r>
              <w:rPr>
                <w:rFonts w:ascii="宋体" w:hAnsi="宋体" w:cs="宋体"/>
                <w:color w:val="000000"/>
              </w:rPr>
              <w:t>2</w:t>
            </w:r>
          </w:p>
        </w:tc>
        <w:tc>
          <w:tcPr>
            <w:tcW w:w="1662" w:type="dxa"/>
            <w:noWrap/>
            <w:vAlign w:val="center"/>
          </w:tcPr>
          <w:p w:rsidR="00303DD7" w:rsidRPr="007A1D77" w:rsidRDefault="00303DD7" w:rsidP="00FD6667">
            <w:pPr>
              <w:pStyle w:val="PlainText"/>
              <w:adjustRightInd w:val="0"/>
              <w:snapToGrid w:val="0"/>
              <w:jc w:val="center"/>
              <w:rPr>
                <w:rFonts w:hAnsi="宋体" w:cs="Times New Roman"/>
                <w:color w:val="000000"/>
              </w:rPr>
            </w:pPr>
            <w:r w:rsidRPr="007A1D77">
              <w:rPr>
                <w:rFonts w:hAnsi="宋体" w:hint="eastAsia"/>
                <w:color w:val="000000"/>
              </w:rPr>
              <w:t>反向弯曲性能</w:t>
            </w:r>
          </w:p>
        </w:tc>
        <w:tc>
          <w:tcPr>
            <w:tcW w:w="1899" w:type="dxa"/>
            <w:noWrap/>
            <w:vAlign w:val="center"/>
          </w:tcPr>
          <w:p w:rsidR="00303DD7" w:rsidRDefault="00303DD7" w:rsidP="00FD6667">
            <w:pPr>
              <w:snapToGrid w:val="0"/>
              <w:jc w:val="center"/>
              <w:rPr>
                <w:rFonts w:ascii="宋体"/>
                <w:kern w:val="0"/>
              </w:rPr>
            </w:pPr>
            <w:r w:rsidRPr="00FD6667">
              <w:rPr>
                <w:rFonts w:ascii="宋体" w:hAnsi="宋体" w:cs="宋体"/>
                <w:kern w:val="0"/>
              </w:rPr>
              <w:t>GB 1499.2-2024</w:t>
            </w:r>
          </w:p>
        </w:tc>
        <w:tc>
          <w:tcPr>
            <w:tcW w:w="1754" w:type="dxa"/>
            <w:noWrap/>
            <w:vAlign w:val="center"/>
          </w:tcPr>
          <w:p w:rsidR="00303DD7" w:rsidRDefault="00303DD7" w:rsidP="00FD6667">
            <w:pPr>
              <w:snapToGrid w:val="0"/>
              <w:jc w:val="center"/>
            </w:pPr>
            <w:r w:rsidRPr="00FD6667">
              <w:rPr>
                <w:rFonts w:ascii="宋体" w:hAnsi="宋体" w:cs="宋体"/>
                <w:kern w:val="0"/>
              </w:rPr>
              <w:t>GB 1499.2-2024</w:t>
            </w:r>
          </w:p>
        </w:tc>
        <w:tc>
          <w:tcPr>
            <w:tcW w:w="1187" w:type="dxa"/>
            <w:noWrap/>
            <w:vAlign w:val="center"/>
          </w:tcPr>
          <w:p w:rsidR="00303DD7" w:rsidRDefault="00303DD7" w:rsidP="00FD6667">
            <w:pPr>
              <w:adjustRightInd w:val="0"/>
              <w:snapToGrid w:val="0"/>
              <w:jc w:val="center"/>
              <w:rPr>
                <w:rFonts w:ascii="宋体" w:cs="宋体"/>
              </w:rPr>
            </w:pPr>
            <w:r>
              <w:rPr>
                <w:rFonts w:ascii="宋体" w:cs="宋体"/>
              </w:rPr>
              <w:t>A</w:t>
            </w:r>
          </w:p>
        </w:tc>
        <w:tc>
          <w:tcPr>
            <w:tcW w:w="1646" w:type="dxa"/>
            <w:noWrap/>
            <w:vAlign w:val="center"/>
          </w:tcPr>
          <w:p w:rsidR="00303DD7" w:rsidRDefault="00303DD7" w:rsidP="00FD6667">
            <w:pPr>
              <w:adjustRightInd w:val="0"/>
              <w:snapToGrid w:val="0"/>
              <w:jc w:val="center"/>
              <w:rPr>
                <w:rFonts w:ascii="宋体"/>
                <w:b/>
                <w:bCs/>
              </w:rPr>
            </w:pPr>
          </w:p>
        </w:tc>
      </w:tr>
      <w:tr w:rsidR="00303DD7">
        <w:trPr>
          <w:cantSplit/>
          <w:trHeight w:val="267"/>
        </w:trPr>
        <w:tc>
          <w:tcPr>
            <w:tcW w:w="661" w:type="dxa"/>
            <w:noWrap/>
            <w:vAlign w:val="center"/>
          </w:tcPr>
          <w:p w:rsidR="00303DD7" w:rsidRDefault="00303DD7" w:rsidP="00FD6667">
            <w:pPr>
              <w:snapToGrid w:val="0"/>
              <w:jc w:val="center"/>
              <w:rPr>
                <w:rFonts w:ascii="宋体"/>
                <w:color w:val="000000"/>
              </w:rPr>
            </w:pPr>
            <w:r>
              <w:rPr>
                <w:rFonts w:ascii="宋体" w:hAnsi="宋体" w:cs="宋体"/>
                <w:color w:val="000000"/>
              </w:rPr>
              <w:t>3</w:t>
            </w:r>
          </w:p>
        </w:tc>
        <w:tc>
          <w:tcPr>
            <w:tcW w:w="1662" w:type="dxa"/>
            <w:noWrap/>
            <w:vAlign w:val="center"/>
          </w:tcPr>
          <w:p w:rsidR="00303DD7" w:rsidRPr="007A1D77" w:rsidRDefault="00303DD7" w:rsidP="00FD6667">
            <w:pPr>
              <w:pStyle w:val="PlainText"/>
              <w:adjustRightInd w:val="0"/>
              <w:snapToGrid w:val="0"/>
              <w:jc w:val="center"/>
              <w:rPr>
                <w:rFonts w:hAnsi="宋体" w:cs="Times New Roman"/>
                <w:color w:val="000000"/>
              </w:rPr>
            </w:pPr>
            <w:r w:rsidRPr="007A1D77">
              <w:rPr>
                <w:rFonts w:hAnsi="宋体" w:hint="eastAsia"/>
                <w:color w:val="000000"/>
              </w:rPr>
              <w:t>尺寸外形（横肋高</w:t>
            </w:r>
            <w:r w:rsidRPr="007A1D77">
              <w:rPr>
                <w:rFonts w:hAnsi="宋体"/>
                <w:color w:val="000000"/>
              </w:rPr>
              <w:t>h</w:t>
            </w:r>
            <w:r w:rsidRPr="007A1D77">
              <w:rPr>
                <w:rFonts w:hAnsi="宋体" w:hint="eastAsia"/>
                <w:color w:val="000000"/>
              </w:rPr>
              <w:t>、肋间距</w:t>
            </w:r>
            <w:r w:rsidRPr="007A1D77">
              <w:rPr>
                <w:rFonts w:hAnsi="宋体"/>
                <w:color w:val="000000"/>
              </w:rPr>
              <w:t>l</w:t>
            </w:r>
            <w:r w:rsidRPr="007A1D77">
              <w:rPr>
                <w:rFonts w:hAnsi="宋体" w:hint="eastAsia"/>
                <w:color w:val="000000"/>
              </w:rPr>
              <w:t>）</w:t>
            </w:r>
          </w:p>
        </w:tc>
        <w:tc>
          <w:tcPr>
            <w:tcW w:w="1899" w:type="dxa"/>
            <w:noWrap/>
            <w:vAlign w:val="center"/>
          </w:tcPr>
          <w:p w:rsidR="00303DD7" w:rsidRDefault="00303DD7" w:rsidP="00FD6667">
            <w:pPr>
              <w:snapToGrid w:val="0"/>
              <w:jc w:val="center"/>
              <w:rPr>
                <w:rFonts w:ascii="宋体"/>
                <w:kern w:val="0"/>
              </w:rPr>
            </w:pPr>
            <w:r w:rsidRPr="00FD6667">
              <w:rPr>
                <w:rFonts w:ascii="宋体" w:hAnsi="宋体" w:cs="宋体"/>
                <w:kern w:val="0"/>
              </w:rPr>
              <w:t>GB 1499.2-2024</w:t>
            </w:r>
          </w:p>
        </w:tc>
        <w:tc>
          <w:tcPr>
            <w:tcW w:w="1754" w:type="dxa"/>
            <w:noWrap/>
            <w:vAlign w:val="center"/>
          </w:tcPr>
          <w:p w:rsidR="00303DD7" w:rsidRDefault="00303DD7" w:rsidP="00FD6667">
            <w:pPr>
              <w:snapToGrid w:val="0"/>
              <w:jc w:val="center"/>
            </w:pPr>
            <w:r w:rsidRPr="00FD6667">
              <w:rPr>
                <w:rFonts w:ascii="宋体" w:hAnsi="宋体" w:cs="宋体"/>
                <w:kern w:val="0"/>
              </w:rPr>
              <w:t>GB 1499.2-2024</w:t>
            </w:r>
          </w:p>
        </w:tc>
        <w:tc>
          <w:tcPr>
            <w:tcW w:w="1187" w:type="dxa"/>
            <w:noWrap/>
            <w:vAlign w:val="center"/>
          </w:tcPr>
          <w:p w:rsidR="00303DD7" w:rsidRDefault="00303DD7" w:rsidP="00FD6667">
            <w:pPr>
              <w:adjustRightInd w:val="0"/>
              <w:snapToGrid w:val="0"/>
              <w:jc w:val="center"/>
              <w:rPr>
                <w:rFonts w:ascii="宋体" w:cs="宋体"/>
              </w:rPr>
            </w:pPr>
            <w:r>
              <w:rPr>
                <w:rFonts w:ascii="宋体" w:cs="宋体"/>
              </w:rPr>
              <w:t>B</w:t>
            </w:r>
          </w:p>
        </w:tc>
        <w:tc>
          <w:tcPr>
            <w:tcW w:w="1646" w:type="dxa"/>
            <w:noWrap/>
            <w:vAlign w:val="center"/>
          </w:tcPr>
          <w:p w:rsidR="00303DD7" w:rsidRDefault="00303DD7" w:rsidP="00FD6667">
            <w:pPr>
              <w:adjustRightInd w:val="0"/>
              <w:snapToGrid w:val="0"/>
              <w:jc w:val="center"/>
              <w:rPr>
                <w:rFonts w:ascii="宋体" w:cs="宋体"/>
              </w:rPr>
            </w:pPr>
          </w:p>
        </w:tc>
      </w:tr>
      <w:tr w:rsidR="00303DD7">
        <w:trPr>
          <w:cantSplit/>
          <w:trHeight w:val="267"/>
        </w:trPr>
        <w:tc>
          <w:tcPr>
            <w:tcW w:w="661" w:type="dxa"/>
            <w:noWrap/>
            <w:vAlign w:val="center"/>
          </w:tcPr>
          <w:p w:rsidR="00303DD7" w:rsidRDefault="00303DD7" w:rsidP="00FD6667">
            <w:pPr>
              <w:snapToGrid w:val="0"/>
              <w:jc w:val="center"/>
              <w:rPr>
                <w:rFonts w:ascii="宋体"/>
                <w:color w:val="000000"/>
              </w:rPr>
            </w:pPr>
            <w:r>
              <w:rPr>
                <w:rFonts w:ascii="宋体" w:hAnsi="宋体" w:cs="宋体"/>
                <w:color w:val="000000"/>
              </w:rPr>
              <w:t>4</w:t>
            </w:r>
          </w:p>
        </w:tc>
        <w:tc>
          <w:tcPr>
            <w:tcW w:w="1662" w:type="dxa"/>
            <w:noWrap/>
            <w:vAlign w:val="center"/>
          </w:tcPr>
          <w:p w:rsidR="00303DD7" w:rsidRPr="007A1D77" w:rsidRDefault="00303DD7" w:rsidP="00FD6667">
            <w:pPr>
              <w:pStyle w:val="PlainText"/>
              <w:adjustRightInd w:val="0"/>
              <w:snapToGrid w:val="0"/>
              <w:jc w:val="center"/>
              <w:rPr>
                <w:rFonts w:hAnsi="宋体" w:cs="Times New Roman"/>
                <w:color w:val="000000"/>
              </w:rPr>
            </w:pPr>
            <w:r w:rsidRPr="007A1D77">
              <w:rPr>
                <w:rFonts w:hAnsi="宋体" w:hint="eastAsia"/>
                <w:color w:val="000000"/>
              </w:rPr>
              <w:t>重量偏差</w:t>
            </w:r>
          </w:p>
        </w:tc>
        <w:tc>
          <w:tcPr>
            <w:tcW w:w="1899" w:type="dxa"/>
            <w:noWrap/>
            <w:vAlign w:val="center"/>
          </w:tcPr>
          <w:p w:rsidR="00303DD7" w:rsidRDefault="00303DD7" w:rsidP="00FD6667">
            <w:pPr>
              <w:snapToGrid w:val="0"/>
              <w:jc w:val="center"/>
              <w:rPr>
                <w:rFonts w:ascii="宋体"/>
                <w:kern w:val="0"/>
              </w:rPr>
            </w:pPr>
            <w:r w:rsidRPr="00FD6667">
              <w:rPr>
                <w:rFonts w:ascii="宋体" w:hAnsi="宋体" w:cs="宋体"/>
                <w:kern w:val="0"/>
              </w:rPr>
              <w:t>GB 1499.2-2024</w:t>
            </w:r>
          </w:p>
        </w:tc>
        <w:tc>
          <w:tcPr>
            <w:tcW w:w="1754" w:type="dxa"/>
            <w:noWrap/>
            <w:vAlign w:val="center"/>
          </w:tcPr>
          <w:p w:rsidR="00303DD7" w:rsidRDefault="00303DD7" w:rsidP="00FD6667">
            <w:pPr>
              <w:snapToGrid w:val="0"/>
              <w:jc w:val="center"/>
            </w:pPr>
            <w:r w:rsidRPr="00FD6667">
              <w:rPr>
                <w:rFonts w:ascii="宋体" w:hAnsi="宋体" w:cs="宋体"/>
                <w:kern w:val="0"/>
              </w:rPr>
              <w:t>GB 1499.2-2024</w:t>
            </w:r>
          </w:p>
        </w:tc>
        <w:tc>
          <w:tcPr>
            <w:tcW w:w="1187" w:type="dxa"/>
            <w:noWrap/>
            <w:vAlign w:val="center"/>
          </w:tcPr>
          <w:p w:rsidR="00303DD7" w:rsidRDefault="00303DD7" w:rsidP="00FD6667">
            <w:pPr>
              <w:adjustRightInd w:val="0"/>
              <w:snapToGrid w:val="0"/>
              <w:jc w:val="center"/>
              <w:rPr>
                <w:rFonts w:ascii="宋体"/>
              </w:rPr>
            </w:pPr>
            <w:r>
              <w:rPr>
                <w:rFonts w:ascii="宋体" w:cs="宋体"/>
              </w:rPr>
              <w:t>A</w:t>
            </w:r>
          </w:p>
        </w:tc>
        <w:tc>
          <w:tcPr>
            <w:tcW w:w="1646" w:type="dxa"/>
            <w:noWrap/>
            <w:vAlign w:val="center"/>
          </w:tcPr>
          <w:p w:rsidR="00303DD7" w:rsidRDefault="00303DD7" w:rsidP="00FD6667">
            <w:pPr>
              <w:adjustRightInd w:val="0"/>
              <w:snapToGrid w:val="0"/>
              <w:jc w:val="center"/>
              <w:rPr>
                <w:rFonts w:ascii="宋体"/>
              </w:rPr>
            </w:pPr>
          </w:p>
        </w:tc>
      </w:tr>
      <w:tr w:rsidR="00303DD7">
        <w:trPr>
          <w:cantSplit/>
          <w:trHeight w:val="267"/>
        </w:trPr>
        <w:tc>
          <w:tcPr>
            <w:tcW w:w="661" w:type="dxa"/>
            <w:noWrap/>
            <w:vAlign w:val="center"/>
          </w:tcPr>
          <w:p w:rsidR="00303DD7" w:rsidRDefault="00303DD7" w:rsidP="00FD6667">
            <w:pPr>
              <w:snapToGrid w:val="0"/>
              <w:jc w:val="center"/>
              <w:rPr>
                <w:rFonts w:ascii="宋体"/>
                <w:color w:val="000000"/>
              </w:rPr>
            </w:pPr>
            <w:r>
              <w:rPr>
                <w:rFonts w:ascii="宋体" w:hAnsi="宋体" w:cs="宋体"/>
                <w:color w:val="000000"/>
              </w:rPr>
              <w:t>5</w:t>
            </w:r>
          </w:p>
        </w:tc>
        <w:tc>
          <w:tcPr>
            <w:tcW w:w="1662" w:type="dxa"/>
            <w:noWrap/>
            <w:vAlign w:val="center"/>
          </w:tcPr>
          <w:p w:rsidR="00303DD7" w:rsidRPr="007A1D77" w:rsidRDefault="00303DD7" w:rsidP="00FD6667">
            <w:pPr>
              <w:pStyle w:val="PlainText"/>
              <w:adjustRightInd w:val="0"/>
              <w:snapToGrid w:val="0"/>
              <w:jc w:val="center"/>
              <w:rPr>
                <w:rFonts w:hAnsi="宋体" w:cs="Times New Roman"/>
                <w:color w:val="000000"/>
              </w:rPr>
            </w:pPr>
            <w:r w:rsidRPr="007A1D77">
              <w:rPr>
                <w:rFonts w:hAnsi="宋体" w:hint="eastAsia"/>
                <w:color w:val="000000"/>
              </w:rPr>
              <w:t>表面标志</w:t>
            </w:r>
          </w:p>
        </w:tc>
        <w:tc>
          <w:tcPr>
            <w:tcW w:w="1899" w:type="dxa"/>
            <w:noWrap/>
            <w:vAlign w:val="center"/>
          </w:tcPr>
          <w:p w:rsidR="00303DD7" w:rsidRDefault="00303DD7" w:rsidP="00FD6667">
            <w:pPr>
              <w:snapToGrid w:val="0"/>
              <w:jc w:val="center"/>
              <w:rPr>
                <w:rFonts w:ascii="宋体"/>
                <w:kern w:val="0"/>
              </w:rPr>
            </w:pPr>
            <w:r w:rsidRPr="00FD6667">
              <w:rPr>
                <w:rFonts w:ascii="宋体" w:hAnsi="宋体" w:cs="宋体"/>
                <w:kern w:val="0"/>
              </w:rPr>
              <w:t>GB 1499.2-2024</w:t>
            </w:r>
          </w:p>
        </w:tc>
        <w:tc>
          <w:tcPr>
            <w:tcW w:w="1754" w:type="dxa"/>
            <w:noWrap/>
            <w:vAlign w:val="center"/>
          </w:tcPr>
          <w:p w:rsidR="00303DD7" w:rsidRDefault="00303DD7" w:rsidP="00FD6667">
            <w:pPr>
              <w:snapToGrid w:val="0"/>
              <w:jc w:val="center"/>
            </w:pPr>
            <w:r w:rsidRPr="00FD6667">
              <w:rPr>
                <w:rFonts w:ascii="宋体" w:hAnsi="宋体" w:cs="宋体"/>
                <w:kern w:val="0"/>
              </w:rPr>
              <w:t>GB 1499.2-2024</w:t>
            </w:r>
          </w:p>
        </w:tc>
        <w:tc>
          <w:tcPr>
            <w:tcW w:w="1187" w:type="dxa"/>
            <w:noWrap/>
            <w:vAlign w:val="center"/>
          </w:tcPr>
          <w:p w:rsidR="00303DD7" w:rsidRDefault="00303DD7" w:rsidP="00FD6667">
            <w:pPr>
              <w:adjustRightInd w:val="0"/>
              <w:snapToGrid w:val="0"/>
              <w:jc w:val="center"/>
              <w:rPr>
                <w:rFonts w:ascii="宋体" w:cs="宋体"/>
              </w:rPr>
            </w:pPr>
            <w:r>
              <w:rPr>
                <w:rFonts w:ascii="宋体" w:cs="宋体"/>
              </w:rPr>
              <w:t>B</w:t>
            </w:r>
          </w:p>
        </w:tc>
        <w:tc>
          <w:tcPr>
            <w:tcW w:w="1646" w:type="dxa"/>
            <w:noWrap/>
            <w:vAlign w:val="center"/>
          </w:tcPr>
          <w:p w:rsidR="00303DD7" w:rsidRDefault="00303DD7" w:rsidP="00FD6667">
            <w:pPr>
              <w:adjustRightInd w:val="0"/>
              <w:snapToGrid w:val="0"/>
              <w:jc w:val="center"/>
              <w:rPr>
                <w:rFonts w:ascii="宋体"/>
              </w:rPr>
            </w:pPr>
          </w:p>
        </w:tc>
      </w:tr>
      <w:tr w:rsidR="00303DD7">
        <w:trPr>
          <w:cantSplit/>
          <w:trHeight w:val="628"/>
        </w:trPr>
        <w:tc>
          <w:tcPr>
            <w:tcW w:w="8809" w:type="dxa"/>
            <w:gridSpan w:val="6"/>
            <w:noWrap/>
            <w:vAlign w:val="center"/>
          </w:tcPr>
          <w:p w:rsidR="00303DD7" w:rsidRDefault="00303DD7" w:rsidP="00FD6667">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303DD7" w:rsidRDefault="00303DD7" w:rsidP="00303DD7">
      <w:pPr>
        <w:snapToGrid w:val="0"/>
        <w:spacing w:line="360" w:lineRule="auto"/>
        <w:ind w:firstLineChars="199" w:firstLine="31680"/>
        <w:rPr>
          <w:rFonts w:ascii="宋体"/>
          <w:sz w:val="18"/>
          <w:szCs w:val="18"/>
        </w:rPr>
      </w:pPr>
    </w:p>
    <w:p w:rsidR="00303DD7" w:rsidRDefault="00303DD7" w:rsidP="00F27069">
      <w:pPr>
        <w:snapToGrid w:val="0"/>
        <w:spacing w:line="360" w:lineRule="auto"/>
        <w:ind w:firstLineChars="199" w:firstLine="31680"/>
        <w:rPr>
          <w:rFonts w:ascii="宋体"/>
          <w:sz w:val="18"/>
          <w:szCs w:val="18"/>
        </w:rPr>
      </w:pPr>
      <w:r>
        <w:rPr>
          <w:rFonts w:ascii="宋体" w:hAnsi="宋体" w:cs="宋体" w:hint="eastAsia"/>
          <w:sz w:val="18"/>
          <w:szCs w:val="18"/>
        </w:rPr>
        <w:t>注：</w:t>
      </w:r>
    </w:p>
    <w:p w:rsidR="00303DD7" w:rsidRDefault="00303DD7" w:rsidP="00F27069">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303DD7" w:rsidRDefault="00303DD7" w:rsidP="00F27069">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303DD7" w:rsidRDefault="00303DD7">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303DD7" w:rsidRDefault="00303DD7">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303DD7" w:rsidRDefault="00303DD7" w:rsidP="00F2706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303DD7" w:rsidRDefault="00303DD7" w:rsidP="00F2706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303DD7" w:rsidRDefault="00303DD7" w:rsidP="00F2706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303DD7" w:rsidRDefault="00303DD7" w:rsidP="00F27069">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303DD7" w:rsidRDefault="00303DD7">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303DD7" w:rsidRDefault="00303DD7" w:rsidP="00A161AB">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303DD7" w:rsidRDefault="00303DD7" w:rsidP="00F27069">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303DD7" w:rsidRDefault="00303DD7">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303DD7" w:rsidRDefault="00303DD7" w:rsidP="00F27069">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热轧带肋钢筋）</w:t>
      </w:r>
      <w:r>
        <w:rPr>
          <w:rFonts w:ascii="宋体" w:hAnsi="宋体" w:cs="宋体" w:hint="eastAsia"/>
        </w:rPr>
        <w:t>》（或方案）</w:t>
      </w:r>
      <w:r>
        <w:rPr>
          <w:rFonts w:ascii="宋体" w:hAnsi="宋体" w:cs="宋体" w:hint="eastAsia"/>
          <w:color w:val="000000"/>
        </w:rPr>
        <w:t>，判定为合格；</w:t>
      </w:r>
    </w:p>
    <w:p w:rsidR="00303DD7" w:rsidRDefault="00303DD7" w:rsidP="00F2706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热轧带肋钢筋）</w:t>
      </w:r>
      <w:r>
        <w:rPr>
          <w:rFonts w:ascii="宋体" w:hAnsi="宋体" w:cs="宋体" w:hint="eastAsia"/>
        </w:rPr>
        <w:t>》（或方案）</w:t>
      </w:r>
      <w:r>
        <w:rPr>
          <w:rFonts w:ascii="宋体" w:hAnsi="宋体" w:cs="宋体" w:hint="eastAsia"/>
          <w:color w:val="000000"/>
        </w:rPr>
        <w:t>，判定为不合格；</w:t>
      </w:r>
    </w:p>
    <w:p w:rsidR="00303DD7" w:rsidRDefault="00303DD7" w:rsidP="00F27069">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Pr>
          <w:rFonts w:ascii="宋体" w:hAnsi="宋体" w:cs="宋体" w:hint="eastAsia"/>
          <w:color w:val="000000"/>
        </w:rPr>
        <w:t>热轧带肋钢筋）</w:t>
      </w:r>
      <w:r>
        <w:rPr>
          <w:rFonts w:ascii="宋体" w:hAnsi="宋体" w:cs="宋体" w:hint="eastAsia"/>
        </w:rPr>
        <w:t>》（或方案）</w:t>
      </w:r>
      <w:r>
        <w:rPr>
          <w:rFonts w:ascii="宋体" w:hAnsi="宋体" w:cs="宋体" w:hint="eastAsia"/>
          <w:color w:val="000000"/>
        </w:rPr>
        <w:t>，判定为不合格，属于严重不合格。</w:t>
      </w:r>
    </w:p>
    <w:p w:rsidR="00303DD7" w:rsidRDefault="00303DD7" w:rsidP="00A161AB">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p>
    <w:p w:rsidR="00303DD7" w:rsidRDefault="00303DD7" w:rsidP="00F27069">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303DD7" w:rsidRDefault="00303DD7">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303DD7" w:rsidRDefault="00303DD7">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03DD7" w:rsidRDefault="00303DD7">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303DD7" w:rsidRDefault="00303DD7">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303DD7" w:rsidRDefault="00303DD7" w:rsidP="00BC3078">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303DD7" w:rsidSect="00EE6164">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DD7" w:rsidRDefault="00303DD7" w:rsidP="00E430B0">
      <w:r>
        <w:separator/>
      </w:r>
    </w:p>
  </w:endnote>
  <w:endnote w:type="continuationSeparator" w:id="1">
    <w:p w:rsidR="00303DD7" w:rsidRDefault="00303DD7" w:rsidP="00E43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DD7" w:rsidRDefault="00303DD7" w:rsidP="00E430B0">
      <w:r>
        <w:separator/>
      </w:r>
    </w:p>
  </w:footnote>
  <w:footnote w:type="continuationSeparator" w:id="1">
    <w:p w:rsidR="00303DD7" w:rsidRDefault="00303DD7" w:rsidP="00E430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1852"/>
    <w:rsid w:val="001639C4"/>
    <w:rsid w:val="00176834"/>
    <w:rsid w:val="00233319"/>
    <w:rsid w:val="00274F8D"/>
    <w:rsid w:val="00292EA2"/>
    <w:rsid w:val="002A1E8D"/>
    <w:rsid w:val="002C355E"/>
    <w:rsid w:val="002E33D7"/>
    <w:rsid w:val="002E3634"/>
    <w:rsid w:val="00303DD7"/>
    <w:rsid w:val="00311764"/>
    <w:rsid w:val="00320998"/>
    <w:rsid w:val="00340292"/>
    <w:rsid w:val="00344D4A"/>
    <w:rsid w:val="00380E77"/>
    <w:rsid w:val="00393AE2"/>
    <w:rsid w:val="00433143"/>
    <w:rsid w:val="0043640A"/>
    <w:rsid w:val="00475594"/>
    <w:rsid w:val="00483165"/>
    <w:rsid w:val="00492251"/>
    <w:rsid w:val="004B2E20"/>
    <w:rsid w:val="004C058C"/>
    <w:rsid w:val="004F1392"/>
    <w:rsid w:val="00502B34"/>
    <w:rsid w:val="00502E26"/>
    <w:rsid w:val="00522ADC"/>
    <w:rsid w:val="00562D67"/>
    <w:rsid w:val="005D7B73"/>
    <w:rsid w:val="005E08F4"/>
    <w:rsid w:val="005E5A09"/>
    <w:rsid w:val="00655AF0"/>
    <w:rsid w:val="00675299"/>
    <w:rsid w:val="006E75A1"/>
    <w:rsid w:val="007813C5"/>
    <w:rsid w:val="00786F56"/>
    <w:rsid w:val="007A1D77"/>
    <w:rsid w:val="007F6ECF"/>
    <w:rsid w:val="00827141"/>
    <w:rsid w:val="008271B5"/>
    <w:rsid w:val="00840A88"/>
    <w:rsid w:val="008B3244"/>
    <w:rsid w:val="008E2875"/>
    <w:rsid w:val="008F649F"/>
    <w:rsid w:val="00940248"/>
    <w:rsid w:val="00984314"/>
    <w:rsid w:val="00A023DE"/>
    <w:rsid w:val="00A161AB"/>
    <w:rsid w:val="00A32D97"/>
    <w:rsid w:val="00A354EF"/>
    <w:rsid w:val="00A94BF7"/>
    <w:rsid w:val="00AB6B5C"/>
    <w:rsid w:val="00AC7E45"/>
    <w:rsid w:val="00AE69A1"/>
    <w:rsid w:val="00AF51FF"/>
    <w:rsid w:val="00B73A79"/>
    <w:rsid w:val="00B73CA0"/>
    <w:rsid w:val="00B955F5"/>
    <w:rsid w:val="00BC1C11"/>
    <w:rsid w:val="00BC3078"/>
    <w:rsid w:val="00BC3DA1"/>
    <w:rsid w:val="00C06937"/>
    <w:rsid w:val="00C177F4"/>
    <w:rsid w:val="00C31362"/>
    <w:rsid w:val="00CB03BE"/>
    <w:rsid w:val="00CD573C"/>
    <w:rsid w:val="00CE1FF8"/>
    <w:rsid w:val="00D25A85"/>
    <w:rsid w:val="00D27254"/>
    <w:rsid w:val="00D3025C"/>
    <w:rsid w:val="00D34880"/>
    <w:rsid w:val="00D8042B"/>
    <w:rsid w:val="00DA599F"/>
    <w:rsid w:val="00DB53C4"/>
    <w:rsid w:val="00DD038F"/>
    <w:rsid w:val="00DD6F11"/>
    <w:rsid w:val="00E15F61"/>
    <w:rsid w:val="00E22B08"/>
    <w:rsid w:val="00E258B3"/>
    <w:rsid w:val="00E430B0"/>
    <w:rsid w:val="00E679B6"/>
    <w:rsid w:val="00E85FE0"/>
    <w:rsid w:val="00EA4980"/>
    <w:rsid w:val="00EC76E0"/>
    <w:rsid w:val="00EE6164"/>
    <w:rsid w:val="00EF74F6"/>
    <w:rsid w:val="00F00495"/>
    <w:rsid w:val="00F27069"/>
    <w:rsid w:val="00FD6667"/>
    <w:rsid w:val="00FE025A"/>
    <w:rsid w:val="00FF253D"/>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1I2"/>
    <w:qFormat/>
    <w:rsid w:val="00EE616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I2">
    <w:name w:val="BodyText1I2"/>
    <w:basedOn w:val="BodyTextIndent"/>
    <w:next w:val="Normal"/>
    <w:uiPriority w:val="99"/>
    <w:rsid w:val="00EE6164"/>
    <w:pPr>
      <w:ind w:firstLineChars="200" w:firstLine="420"/>
    </w:pPr>
  </w:style>
  <w:style w:type="paragraph" w:customStyle="1" w:styleId="BodyTextIndent">
    <w:name w:val="BodyTextIndent"/>
    <w:basedOn w:val="Normal"/>
    <w:next w:val="EnvelopeReturn"/>
    <w:uiPriority w:val="99"/>
    <w:rsid w:val="00EE6164"/>
    <w:pPr>
      <w:spacing w:after="120"/>
      <w:ind w:leftChars="200" w:left="420"/>
      <w:textAlignment w:val="baseline"/>
    </w:pPr>
  </w:style>
  <w:style w:type="paragraph" w:customStyle="1" w:styleId="EnvelopeReturn">
    <w:name w:val="EnvelopeReturn"/>
    <w:basedOn w:val="Normal"/>
    <w:uiPriority w:val="99"/>
    <w:rsid w:val="00EE6164"/>
    <w:pPr>
      <w:snapToGrid w:val="0"/>
      <w:textAlignment w:val="baseline"/>
    </w:pPr>
    <w:rPr>
      <w:rFonts w:ascii="Arial" w:hAnsi="Arial" w:cs="Arial"/>
    </w:rPr>
  </w:style>
  <w:style w:type="paragraph" w:styleId="BodyText">
    <w:name w:val="Body Text"/>
    <w:basedOn w:val="Normal"/>
    <w:next w:val="Normal"/>
    <w:link w:val="BodyTextChar"/>
    <w:uiPriority w:val="99"/>
    <w:locked/>
    <w:rsid w:val="00EE6164"/>
    <w:rPr>
      <w:rFonts w:ascii="宋体" w:hAnsi="宋体" w:cs="宋体"/>
      <w:sz w:val="28"/>
      <w:szCs w:val="28"/>
      <w:lang w:val="zh-CN"/>
    </w:rPr>
  </w:style>
  <w:style w:type="character" w:customStyle="1" w:styleId="BodyTextChar">
    <w:name w:val="Body Text Char"/>
    <w:basedOn w:val="DefaultParagraphFont"/>
    <w:link w:val="BodyText"/>
    <w:uiPriority w:val="99"/>
    <w:semiHidden/>
    <w:rsid w:val="00067FDC"/>
    <w:rPr>
      <w:szCs w:val="21"/>
    </w:rPr>
  </w:style>
  <w:style w:type="paragraph" w:styleId="BlockText">
    <w:name w:val="Block Text"/>
    <w:basedOn w:val="Normal"/>
    <w:uiPriority w:val="99"/>
    <w:rsid w:val="00EE6164"/>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EE6164"/>
    <w:rPr>
      <w:rFonts w:ascii="宋体" w:hAnsi="Courier New" w:cs="宋体"/>
    </w:rPr>
  </w:style>
  <w:style w:type="character" w:customStyle="1" w:styleId="PlainTextChar">
    <w:name w:val="Plain Text Char"/>
    <w:basedOn w:val="DefaultParagraphFont"/>
    <w:link w:val="PlainText"/>
    <w:uiPriority w:val="99"/>
    <w:semiHidden/>
    <w:locked/>
    <w:rsid w:val="00EE6164"/>
    <w:rPr>
      <w:rFonts w:ascii="宋体" w:hAnsi="Courier New" w:cs="宋体"/>
      <w:sz w:val="21"/>
      <w:szCs w:val="21"/>
    </w:rPr>
  </w:style>
  <w:style w:type="paragraph" w:styleId="Footer">
    <w:name w:val="footer"/>
    <w:basedOn w:val="Normal"/>
    <w:link w:val="FooterChar"/>
    <w:uiPriority w:val="99"/>
    <w:locked/>
    <w:rsid w:val="00EE616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067FDC"/>
    <w:rPr>
      <w:sz w:val="18"/>
      <w:szCs w:val="18"/>
    </w:rPr>
  </w:style>
  <w:style w:type="paragraph" w:styleId="Header">
    <w:name w:val="header"/>
    <w:basedOn w:val="Normal"/>
    <w:link w:val="HeaderChar"/>
    <w:uiPriority w:val="99"/>
    <w:locked/>
    <w:rsid w:val="00EE616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067FDC"/>
    <w:rPr>
      <w:sz w:val="18"/>
      <w:szCs w:val="18"/>
    </w:rPr>
  </w:style>
  <w:style w:type="table" w:styleId="TableGrid">
    <w:name w:val="Table Grid"/>
    <w:basedOn w:val="TableNormal"/>
    <w:uiPriority w:val="99"/>
    <w:rsid w:val="00EE616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EE6164"/>
    <w:rPr>
      <w:b/>
      <w:bCs/>
    </w:rPr>
  </w:style>
  <w:style w:type="character" w:styleId="PageNumber">
    <w:name w:val="page number"/>
    <w:basedOn w:val="DefaultParagraphFont"/>
    <w:uiPriority w:val="99"/>
    <w:locked/>
    <w:rsid w:val="00EE6164"/>
  </w:style>
  <w:style w:type="character" w:styleId="FollowedHyperlink">
    <w:name w:val="FollowedHyperlink"/>
    <w:basedOn w:val="DefaultParagraphFont"/>
    <w:uiPriority w:val="99"/>
    <w:rsid w:val="00EE6164"/>
    <w:rPr>
      <w:color w:val="auto"/>
      <w:u w:val="none"/>
    </w:rPr>
  </w:style>
  <w:style w:type="character" w:styleId="Emphasis">
    <w:name w:val="Emphasis"/>
    <w:basedOn w:val="DefaultParagraphFont"/>
    <w:uiPriority w:val="99"/>
    <w:qFormat/>
    <w:rsid w:val="00EE6164"/>
  </w:style>
  <w:style w:type="character" w:styleId="HTMLDefinition">
    <w:name w:val="HTML Definition"/>
    <w:basedOn w:val="DefaultParagraphFont"/>
    <w:uiPriority w:val="99"/>
    <w:rsid w:val="00EE6164"/>
  </w:style>
  <w:style w:type="character" w:styleId="HTMLVariable">
    <w:name w:val="HTML Variable"/>
    <w:basedOn w:val="DefaultParagraphFont"/>
    <w:uiPriority w:val="99"/>
    <w:rsid w:val="00EE6164"/>
  </w:style>
  <w:style w:type="character" w:styleId="Hyperlink">
    <w:name w:val="Hyperlink"/>
    <w:basedOn w:val="DefaultParagraphFont"/>
    <w:uiPriority w:val="99"/>
    <w:rsid w:val="00EE6164"/>
    <w:rPr>
      <w:color w:val="auto"/>
      <w:u w:val="none"/>
    </w:rPr>
  </w:style>
  <w:style w:type="character" w:styleId="HTMLCode">
    <w:name w:val="HTML Code"/>
    <w:basedOn w:val="DefaultParagraphFont"/>
    <w:uiPriority w:val="99"/>
    <w:rsid w:val="00EE6164"/>
    <w:rPr>
      <w:rFonts w:ascii="serif" w:hAnsi="serif" w:cs="serif"/>
      <w:sz w:val="21"/>
      <w:szCs w:val="21"/>
    </w:rPr>
  </w:style>
  <w:style w:type="character" w:styleId="HTMLCite">
    <w:name w:val="HTML Cite"/>
    <w:basedOn w:val="DefaultParagraphFont"/>
    <w:uiPriority w:val="99"/>
    <w:rsid w:val="00EE6164"/>
  </w:style>
  <w:style w:type="character" w:styleId="HTMLKeyboard">
    <w:name w:val="HTML Keyboard"/>
    <w:basedOn w:val="DefaultParagraphFont"/>
    <w:uiPriority w:val="99"/>
    <w:rsid w:val="00EE6164"/>
    <w:rPr>
      <w:rFonts w:ascii="serif" w:hAnsi="serif" w:cs="serif"/>
      <w:sz w:val="21"/>
      <w:szCs w:val="21"/>
    </w:rPr>
  </w:style>
  <w:style w:type="character" w:styleId="HTMLSample">
    <w:name w:val="HTML Sample"/>
    <w:basedOn w:val="DefaultParagraphFont"/>
    <w:uiPriority w:val="99"/>
    <w:rsid w:val="00EE6164"/>
    <w:rPr>
      <w:rFonts w:ascii="serif" w:hAnsi="serif" w:cs="serif"/>
      <w:sz w:val="21"/>
      <w:szCs w:val="21"/>
    </w:rPr>
  </w:style>
  <w:style w:type="paragraph" w:customStyle="1" w:styleId="Style1">
    <w:name w:val="Style1"/>
    <w:uiPriority w:val="99"/>
    <w:rsid w:val="00EE6164"/>
    <w:pPr>
      <w:spacing w:after="120"/>
      <w:jc w:val="both"/>
    </w:pPr>
    <w:rPr>
      <w:rFonts w:ascii="Calibri" w:hAnsi="Calibri" w:cs="Calibri"/>
      <w:color w:val="000000"/>
      <w:spacing w:val="-3"/>
      <w:kern w:val="0"/>
      <w:sz w:val="24"/>
      <w:szCs w:val="24"/>
    </w:rPr>
  </w:style>
  <w:style w:type="character" w:customStyle="1" w:styleId="fontborder">
    <w:name w:val="fontborder"/>
    <w:basedOn w:val="DefaultParagraphFont"/>
    <w:uiPriority w:val="99"/>
    <w:rsid w:val="00EE6164"/>
    <w:rPr>
      <w:bdr w:val="single" w:sz="6" w:space="0" w:color="000000"/>
    </w:rPr>
  </w:style>
  <w:style w:type="character" w:customStyle="1" w:styleId="fontstrikethrough">
    <w:name w:val="fontstrikethrough"/>
    <w:basedOn w:val="DefaultParagraphFont"/>
    <w:uiPriority w:val="99"/>
    <w:rsid w:val="00EE6164"/>
    <w:rPr>
      <w:strike/>
    </w:rPr>
  </w:style>
  <w:style w:type="paragraph" w:customStyle="1" w:styleId="a">
    <w:name w:val="封面标准名称"/>
    <w:uiPriority w:val="99"/>
    <w:rsid w:val="00EE6164"/>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EE6164"/>
    <w:pPr>
      <w:spacing w:beforeLines="100" w:afterLines="100"/>
      <w:jc w:val="both"/>
      <w:outlineLvl w:val="1"/>
    </w:pPr>
    <w:rPr>
      <w:rFonts w:ascii="黑体" w:eastAsia="黑体" w:cs="黑体"/>
      <w:kern w:val="0"/>
      <w:szCs w:val="21"/>
    </w:rPr>
  </w:style>
  <w:style w:type="paragraph" w:customStyle="1" w:styleId="a1">
    <w:name w:val="段"/>
    <w:uiPriority w:val="99"/>
    <w:rsid w:val="00EE6164"/>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86</TotalTime>
  <Pages>5</Pages>
  <Words>372</Words>
  <Characters>2124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15</cp:revision>
  <dcterms:created xsi:type="dcterms:W3CDTF">2025-06-16T03:38:00Z</dcterms:created>
  <dcterms:modified xsi:type="dcterms:W3CDTF">2025-06-30T08:23:00Z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