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olor w:val="FF0000"/>
          <w:spacing w:val="20"/>
          <w:w w:val="105"/>
          <w:sz w:val="48"/>
          <w:szCs w:val="48"/>
        </w:rPr>
      </w:pPr>
      <w:r>
        <w:rPr>
          <w:rFonts w:hint="eastAsia" w:ascii="黑体" w:hAnsi="宋体" w:eastAsia="黑体" w:cs="黑体"/>
          <w:sz w:val="48"/>
          <w:szCs w:val="48"/>
          <w:lang w:val="en-US" w:eastAsia="zh-CN"/>
        </w:rPr>
        <w:t>2024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pPr>
        <w:rPr>
          <w:rFonts w:ascii="宋体"/>
          <w:b/>
          <w:bCs/>
        </w:rPr>
      </w:pPr>
      <w:r>
        <w:pict>
          <v:line id="_x0000_s1026" o:spid="_x0000_s1026" o:spt="20" style="position:absolute;left:0pt;margin-left:0.35pt;margin-top:10.2pt;height:0pt;width:487.75pt;z-index:251659264;mso-width-relative:page;mso-height-relative:page;" stroked="t" coordsize="21600,21600">
            <v:path arrowok="t"/>
            <v:fill focussize="0,0"/>
            <v:stroke weight="1pt" color="#800008"/>
            <v:imagedata o:title=""/>
            <o:lock v:ext="edit"/>
          </v:line>
        </w:pict>
      </w:r>
    </w:p>
    <w:p>
      <w:pP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pPr>
    </w:p>
    <w:p>
      <w:pPr>
        <w:jc w:val="center"/>
      </w:pPr>
    </w:p>
    <w:p>
      <w:pPr>
        <w:jc w:val="center"/>
      </w:pPr>
    </w:p>
    <w:p>
      <w:pPr>
        <w:jc w:val="center"/>
        <w:rPr>
          <w:rFonts w:hint="default" w:eastAsia="宋体"/>
          <w:lang w:val="en-US" w:eastAsia="zh-CN"/>
        </w:rPr>
      </w:pPr>
      <w:r>
        <w:rPr>
          <w:rFonts w:hint="eastAsia" w:ascii="黑体" w:hAnsi="宋体" w:eastAsia="黑体" w:cs="黑体"/>
          <w:sz w:val="48"/>
          <w:szCs w:val="48"/>
          <w:lang w:val="en-US" w:eastAsia="zh-CN"/>
        </w:rPr>
        <w:t>家用燃气灶</w:t>
      </w:r>
    </w:p>
    <w:p>
      <w:pPr>
        <w:jc w:val="center"/>
      </w:pPr>
    </w:p>
    <w:p>
      <w:pPr>
        <w:jc w:val="center"/>
      </w:pPr>
    </w:p>
    <w:p>
      <w:pPr>
        <w:jc w:val="center"/>
      </w:pPr>
    </w:p>
    <w:p>
      <w:pPr>
        <w:jc w:val="center"/>
      </w:pPr>
    </w:p>
    <w:p>
      <w:pPr>
        <w:jc w:val="center"/>
      </w:pPr>
    </w:p>
    <w:p>
      <w:pPr>
        <w:jc w:val="center"/>
      </w:pPr>
    </w:p>
    <w:p/>
    <w:p>
      <w:pPr>
        <w:jc w:val="center"/>
      </w:pPr>
    </w:p>
    <w:p>
      <w:pPr>
        <w:jc w:val="center"/>
      </w:pPr>
    </w:p>
    <w:p>
      <w:pPr>
        <w:jc w:val="center"/>
      </w:pPr>
    </w:p>
    <w:p>
      <w:pPr>
        <w:jc w:val="center"/>
      </w:pPr>
    </w:p>
    <w:p>
      <w:pPr>
        <w:pStyle w:val="25"/>
        <w:rPr>
          <w:rFonts w:cs="Times New Roman"/>
        </w:rPr>
      </w:pPr>
    </w:p>
    <w:p>
      <w:pPr>
        <w:jc w:val="center"/>
      </w:pPr>
    </w:p>
    <w:p>
      <w:pPr>
        <w:pStyle w:val="25"/>
        <w:rPr>
          <w:rFonts w:cs="Times New Roman"/>
        </w:rPr>
      </w:pPr>
    </w:p>
    <w:p>
      <w:pPr>
        <w:rPr>
          <w:rFonts w:ascii="黑体" w:hAnsi="宋体" w:eastAsia="黑体"/>
          <w:sz w:val="28"/>
          <w:szCs w:val="28"/>
        </w:rPr>
      </w:pPr>
    </w:p>
    <w:p>
      <w:pPr>
        <w:rPr>
          <w:u w:val="single"/>
        </w:rPr>
      </w:pPr>
      <w:r>
        <w:pict>
          <v:line id="_x0000_s1027" o:spid="_x0000_s1027" o:spt="20" style="position:absolute;left:0pt;margin-left:0.35pt;margin-top:0.6pt;height:0pt;width:487.75pt;z-index:251659264;mso-width-relative:page;mso-height-relative:page;" stroked="t" coordsize="21600,21600">
            <v:path arrowok="t"/>
            <v:fill focussize="0,0"/>
            <v:stroke weight="1pt" color="#800008"/>
            <v:imagedata o:title=""/>
            <o:lock v:ext="edit"/>
          </v:line>
        </w:pict>
      </w:r>
    </w:p>
    <w:p>
      <w:pPr>
        <w:rPr>
          <w:u w:val="single"/>
        </w:rPr>
      </w:pPr>
    </w:p>
    <w:p>
      <w:pPr>
        <w:jc w:val="center"/>
        <w:rPr>
          <w:rFonts w:ascii="黑体" w:hAnsi="宋体" w:eastAsia="黑体"/>
          <w:w w:val="148"/>
          <w:sz w:val="36"/>
          <w:szCs w:val="36"/>
        </w:rPr>
      </w:pPr>
      <w:r>
        <w:rPr>
          <w:rFonts w:hint="eastAsia" w:ascii="黑体" w:hAnsi="宋体" w:eastAsia="黑体" w:cs="黑体"/>
          <w:w w:val="148"/>
          <w:sz w:val="36"/>
          <w:szCs w:val="36"/>
        </w:rPr>
        <w:t>莆田市市场监督管理局</w:t>
      </w:r>
    </w:p>
    <w:p>
      <w:pPr>
        <w:pStyle w:val="8"/>
        <w:spacing w:line="360" w:lineRule="auto"/>
        <w:jc w:val="center"/>
        <w:rPr>
          <w:rFonts w:hAnsi="宋体"/>
          <w:b/>
          <w:bCs/>
          <w:spacing w:val="-14"/>
          <w:sz w:val="36"/>
          <w:szCs w:val="36"/>
        </w:rPr>
      </w:pPr>
    </w:p>
    <w:p>
      <w:pPr>
        <w:pStyle w:val="8"/>
        <w:spacing w:line="360" w:lineRule="auto"/>
        <w:jc w:val="center"/>
        <w:rPr>
          <w:rFonts w:hAnsi="宋体"/>
          <w:b/>
          <w:bCs/>
          <w:spacing w:val="-14"/>
          <w:sz w:val="36"/>
          <w:szCs w:val="36"/>
        </w:rPr>
      </w:pPr>
    </w:p>
    <w:p>
      <w:pPr>
        <w:pStyle w:val="8"/>
        <w:spacing w:line="360" w:lineRule="auto"/>
        <w:jc w:val="center"/>
        <w:rPr>
          <w:rFonts w:ascii="黑体" w:hAnsi="黑体" w:eastAsia="黑体" w:cs="黑体"/>
        </w:rPr>
      </w:pPr>
      <w:r>
        <w:rPr>
          <w:rFonts w:hint="eastAsia" w:hAnsi="宋体"/>
          <w:b/>
          <w:bCs/>
          <w:spacing w:val="-14"/>
          <w:sz w:val="36"/>
          <w:szCs w:val="36"/>
          <w:lang w:val="en-US" w:eastAsia="zh-CN"/>
        </w:rPr>
        <w:t>2024</w:t>
      </w:r>
      <w:r>
        <w:rPr>
          <w:rFonts w:hint="eastAsia" w:hAnsi="宋体"/>
          <w:b/>
          <w:bCs/>
          <w:spacing w:val="-14"/>
          <w:sz w:val="36"/>
          <w:szCs w:val="36"/>
        </w:rPr>
        <w:t>年流通领域产品质量</w:t>
      </w:r>
      <w:r>
        <w:rPr>
          <w:rFonts w:hint="eastAsia" w:hAnsi="宋体"/>
          <w:b/>
          <w:bCs/>
          <w:sz w:val="36"/>
          <w:szCs w:val="36"/>
        </w:rPr>
        <w:t>监督抽查实施细则</w:t>
      </w:r>
    </w:p>
    <w:p>
      <w:pPr>
        <w:spacing w:line="360" w:lineRule="auto"/>
        <w:rPr>
          <w:rFonts w:ascii="黑体" w:hAnsi="宋体" w:eastAsia="黑体"/>
          <w:b/>
          <w:bCs/>
          <w:color w:val="000000"/>
        </w:rPr>
      </w:pPr>
      <w:r>
        <w:pict>
          <v:shape id="_x0000_s2050" o:spid="_x0000_s2050"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pPr>
        <w:snapToGrid w:val="0"/>
        <w:spacing w:line="360" w:lineRule="auto"/>
        <w:ind w:firstLine="403" w:firstLineChars="192"/>
        <w:rPr>
          <w:rFonts w:ascii="宋体"/>
          <w:color w:val="000000"/>
        </w:rPr>
      </w:pPr>
      <w:r>
        <w:rPr>
          <w:rFonts w:hint="eastAsia" w:ascii="宋体" w:hAnsi="宋体" w:cs="宋体"/>
        </w:rPr>
        <w:t>本细则适用于</w:t>
      </w:r>
      <w:r>
        <w:rPr>
          <w:rFonts w:hint="eastAsia" w:ascii="宋体" w:hAnsi="宋体" w:cs="宋体"/>
          <w:lang w:val="en-US" w:eastAsia="zh-CN"/>
        </w:rPr>
        <w:t>2024</w:t>
      </w:r>
      <w:r>
        <w:rPr>
          <w:rFonts w:hint="eastAsia" w:ascii="宋体" w:hAnsi="宋体" w:cs="宋体"/>
        </w:rPr>
        <w:t>年莆田市流通领域</w:t>
      </w:r>
      <w:r>
        <w:rPr>
          <w:rFonts w:hint="eastAsia" w:ascii="宋体" w:hAnsi="宋体" w:cs="宋体"/>
          <w:lang w:val="en-US" w:eastAsia="zh-CN"/>
        </w:rPr>
        <w:t>家用燃气灶</w:t>
      </w:r>
      <w:r>
        <w:rPr>
          <w:rFonts w:hint="eastAsia" w:ascii="宋体" w:hAnsi="宋体" w:cs="宋体"/>
        </w:rPr>
        <w:t>市级监督抽查，内容包括产品</w:t>
      </w:r>
      <w:r>
        <w:rPr>
          <w:rFonts w:hint="eastAsia" w:ascii="宋体" w:hAnsi="宋体" w:cs="宋体"/>
          <w:color w:val="000000"/>
        </w:rPr>
        <w:t>分类、术语与定义、检验依据、抽样要求、检验要求、判定原则、异议处理原则。</w:t>
      </w:r>
    </w:p>
    <w:p>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pPr>
        <w:spacing w:line="360" w:lineRule="auto"/>
        <w:rPr>
          <w:rFonts w:ascii="黑体" w:hAnsi="宋体" w:eastAsia="黑体"/>
          <w:b/>
          <w:bCs/>
          <w:color w:val="000000"/>
        </w:rPr>
      </w:pPr>
      <w:r>
        <w:rPr>
          <w:rFonts w:ascii="黑体" w:hAnsi="宋体" w:eastAsia="黑体" w:cs="黑体"/>
          <w:b/>
          <w:bCs/>
          <w:color w:val="000000"/>
        </w:rPr>
        <w:t xml:space="preserve">2. </w:t>
      </w:r>
      <w:r>
        <w:rPr>
          <w:rFonts w:hint="eastAsia" w:ascii="黑体" w:hAnsi="宋体" w:eastAsia="黑体" w:cs="黑体"/>
          <w:b/>
          <w:bCs/>
          <w:color w:val="000000"/>
        </w:rPr>
        <w:t>产品分类</w:t>
      </w:r>
    </w:p>
    <w:p>
      <w:pPr>
        <w:spacing w:line="360" w:lineRule="auto"/>
        <w:ind w:firstLine="420" w:firstLineChars="200"/>
        <w:rPr>
          <w:rFonts w:ascii="宋体"/>
          <w:color w:val="000000"/>
        </w:rPr>
      </w:pPr>
      <w:r>
        <w:rPr>
          <w:rFonts w:hint="eastAsia" w:ascii="宋体" w:hAnsi="宋体" w:cs="宋体"/>
          <w:color w:val="000000"/>
          <w:lang w:val="en-US" w:eastAsia="zh-CN"/>
        </w:rPr>
        <w:t>家用燃气灶</w:t>
      </w:r>
      <w:r>
        <w:rPr>
          <w:rFonts w:hint="eastAsia" w:ascii="宋体" w:hAnsi="宋体" w:cs="宋体"/>
          <w:color w:val="000000"/>
        </w:rPr>
        <w:t>产品分类见表</w:t>
      </w:r>
      <w:r>
        <w:rPr>
          <w:rFonts w:ascii="宋体" w:hAnsi="宋体" w:cs="宋体"/>
          <w:color w:val="000000"/>
        </w:rPr>
        <w:t>1</w:t>
      </w:r>
      <w:r>
        <w:rPr>
          <w:rFonts w:hint="eastAsia" w:ascii="宋体" w:hAnsi="宋体" w:cs="宋体"/>
          <w:color w:val="000000"/>
        </w:rPr>
        <w:t>。</w:t>
      </w:r>
    </w:p>
    <w:p>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cs="宋体"/>
          <w:color w:val="000000"/>
          <w:lang w:val="en-US" w:eastAsia="zh-CN"/>
        </w:rPr>
        <w:t>家用燃气灶</w:t>
      </w:r>
    </w:p>
    <w:tbl>
      <w:tblPr>
        <w:tblStyle w:val="11"/>
        <w:tblW w:w="48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1"/>
        <w:gridCol w:w="2391"/>
        <w:gridCol w:w="241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303" w:type="pct"/>
            <w:noWrap/>
          </w:tcPr>
          <w:p>
            <w:pPr>
              <w:spacing w:line="320" w:lineRule="exact"/>
              <w:jc w:val="center"/>
              <w:rPr>
                <w:rFonts w:ascii="宋体"/>
                <w:color w:val="auto"/>
                <w:sz w:val="18"/>
                <w:szCs w:val="18"/>
              </w:rPr>
            </w:pPr>
            <w:r>
              <w:rPr>
                <w:rFonts w:hint="eastAsia" w:ascii="宋体" w:hAnsi="宋体" w:cs="宋体"/>
                <w:color w:val="auto"/>
                <w:sz w:val="18"/>
                <w:szCs w:val="18"/>
              </w:rPr>
              <w:t>产品分类</w:t>
            </w:r>
          </w:p>
        </w:tc>
        <w:tc>
          <w:tcPr>
            <w:tcW w:w="1226" w:type="pct"/>
            <w:noWrap/>
          </w:tcPr>
          <w:p>
            <w:pPr>
              <w:spacing w:line="320" w:lineRule="exact"/>
              <w:jc w:val="center"/>
              <w:rPr>
                <w:rFonts w:ascii="宋体"/>
                <w:color w:val="auto"/>
                <w:sz w:val="18"/>
                <w:szCs w:val="18"/>
              </w:rPr>
            </w:pPr>
            <w:r>
              <w:rPr>
                <w:rFonts w:hint="eastAsia" w:ascii="宋体" w:hAnsi="宋体" w:cs="宋体"/>
                <w:color w:val="auto"/>
                <w:sz w:val="18"/>
                <w:szCs w:val="18"/>
              </w:rPr>
              <w:t>一级分类</w:t>
            </w:r>
          </w:p>
        </w:tc>
        <w:tc>
          <w:tcPr>
            <w:tcW w:w="1236" w:type="pct"/>
            <w:noWrap/>
          </w:tcPr>
          <w:p>
            <w:pPr>
              <w:spacing w:line="320" w:lineRule="exact"/>
              <w:jc w:val="center"/>
              <w:rPr>
                <w:rFonts w:ascii="宋体"/>
                <w:color w:val="auto"/>
                <w:sz w:val="18"/>
                <w:szCs w:val="18"/>
              </w:rPr>
            </w:pPr>
            <w:r>
              <w:rPr>
                <w:rFonts w:hint="eastAsia" w:ascii="宋体" w:hAnsi="宋体" w:cs="宋体"/>
                <w:color w:val="auto"/>
                <w:sz w:val="18"/>
                <w:szCs w:val="18"/>
              </w:rPr>
              <w:t>二级分类</w:t>
            </w:r>
          </w:p>
        </w:tc>
        <w:tc>
          <w:tcPr>
            <w:tcW w:w="1236" w:type="pct"/>
          </w:tcPr>
          <w:p>
            <w:pPr>
              <w:spacing w:line="320" w:lineRule="exact"/>
              <w:jc w:val="center"/>
              <w:rPr>
                <w:rFonts w:ascii="宋体" w:hAnsi="宋体" w:cs="宋体"/>
                <w:color w:val="auto"/>
                <w:sz w:val="18"/>
                <w:szCs w:val="18"/>
              </w:rPr>
            </w:pPr>
            <w:r>
              <w:rPr>
                <w:rFonts w:hint="eastAsia" w:ascii="宋体" w:hAnsi="宋体" w:cs="宋体"/>
                <w:color w:val="auto"/>
                <w:sz w:val="18"/>
                <w:szCs w:val="18"/>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03" w:type="pct"/>
            <w:noWrap/>
            <w:vAlign w:val="center"/>
          </w:tcPr>
          <w:p>
            <w:pPr>
              <w:spacing w:line="320" w:lineRule="exact"/>
              <w:jc w:val="center"/>
              <w:rPr>
                <w:rFonts w:ascii="宋体"/>
                <w:color w:val="auto"/>
                <w:sz w:val="18"/>
                <w:szCs w:val="18"/>
              </w:rPr>
            </w:pPr>
            <w:r>
              <w:rPr>
                <w:rFonts w:hint="eastAsia" w:ascii="宋体" w:hAnsi="宋体" w:cs="宋体"/>
                <w:color w:val="auto"/>
                <w:sz w:val="18"/>
                <w:szCs w:val="18"/>
              </w:rPr>
              <w:t>分类代码</w:t>
            </w:r>
          </w:p>
        </w:tc>
        <w:tc>
          <w:tcPr>
            <w:tcW w:w="1226" w:type="pct"/>
            <w:noWrap/>
            <w:vAlign w:val="center"/>
          </w:tcPr>
          <w:p>
            <w:pPr>
              <w:spacing w:line="320" w:lineRule="exact"/>
              <w:jc w:val="center"/>
              <w:rPr>
                <w:rFonts w:hint="eastAsia" w:ascii="宋体" w:eastAsia="宋体"/>
                <w:color w:val="auto"/>
                <w:sz w:val="18"/>
                <w:szCs w:val="18"/>
                <w:lang w:eastAsia="zh-CN"/>
              </w:rPr>
            </w:pPr>
            <w:r>
              <w:rPr>
                <w:rFonts w:hint="eastAsia" w:ascii="宋体" w:hAnsi="宋体" w:cs="宋体"/>
                <w:color w:val="auto"/>
                <w:sz w:val="18"/>
                <w:szCs w:val="18"/>
                <w:lang w:val="en-US" w:eastAsia="zh-CN"/>
              </w:rPr>
              <w:t>3</w:t>
            </w:r>
          </w:p>
        </w:tc>
        <w:tc>
          <w:tcPr>
            <w:tcW w:w="1236" w:type="pct"/>
            <w:noWrap/>
            <w:vAlign w:val="center"/>
          </w:tcPr>
          <w:p>
            <w:pPr>
              <w:spacing w:line="320" w:lineRule="exact"/>
              <w:jc w:val="center"/>
              <w:rPr>
                <w:rFonts w:hint="default" w:ascii="宋体" w:eastAsia="宋体"/>
                <w:color w:val="auto"/>
                <w:sz w:val="18"/>
                <w:szCs w:val="18"/>
                <w:lang w:val="en-US" w:eastAsia="zh-CN"/>
              </w:rPr>
            </w:pPr>
            <w:r>
              <w:rPr>
                <w:rFonts w:hint="eastAsia" w:ascii="宋体" w:hAnsi="宋体" w:cs="宋体"/>
                <w:color w:val="auto"/>
                <w:sz w:val="18"/>
                <w:szCs w:val="18"/>
                <w:lang w:val="en-US" w:eastAsia="zh-CN"/>
              </w:rPr>
              <w:t>302</w:t>
            </w:r>
          </w:p>
        </w:tc>
        <w:tc>
          <w:tcPr>
            <w:tcW w:w="1236" w:type="pct"/>
          </w:tcPr>
          <w:p>
            <w:pPr>
              <w:spacing w:line="320" w:lineRule="exact"/>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302.1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303" w:type="pct"/>
            <w:noWrap/>
            <w:vAlign w:val="center"/>
          </w:tcPr>
          <w:p>
            <w:pPr>
              <w:spacing w:line="320" w:lineRule="exact"/>
              <w:jc w:val="center"/>
              <w:rPr>
                <w:rFonts w:ascii="宋体"/>
                <w:color w:val="auto"/>
                <w:sz w:val="18"/>
                <w:szCs w:val="18"/>
              </w:rPr>
            </w:pPr>
            <w:r>
              <w:rPr>
                <w:rFonts w:hint="eastAsia" w:ascii="宋体" w:hAnsi="宋体" w:cs="宋体"/>
                <w:color w:val="auto"/>
                <w:sz w:val="18"/>
                <w:szCs w:val="18"/>
              </w:rPr>
              <w:t>分</w:t>
            </w:r>
            <w:r>
              <w:rPr>
                <w:rFonts w:hint="eastAsia" w:ascii="宋体" w:hAnsi="宋体" w:cs="宋体"/>
                <w:b/>
                <w:bCs/>
                <w:color w:val="auto"/>
                <w:sz w:val="18"/>
                <w:szCs w:val="18"/>
              </w:rPr>
              <w:t>类名</w:t>
            </w:r>
            <w:r>
              <w:rPr>
                <w:rFonts w:hint="eastAsia" w:ascii="宋体" w:hAnsi="宋体" w:cs="宋体"/>
                <w:color w:val="auto"/>
                <w:sz w:val="18"/>
                <w:szCs w:val="18"/>
              </w:rPr>
              <w:t>称</w:t>
            </w:r>
          </w:p>
        </w:tc>
        <w:tc>
          <w:tcPr>
            <w:tcW w:w="1226" w:type="pct"/>
            <w:noWrap/>
            <w:vAlign w:val="center"/>
          </w:tcPr>
          <w:p>
            <w:pPr>
              <w:spacing w:line="320" w:lineRule="exact"/>
              <w:jc w:val="center"/>
              <w:rPr>
                <w:rFonts w:hint="eastAsia" w:ascii="宋体" w:eastAsia="宋体"/>
                <w:color w:val="auto"/>
                <w:sz w:val="18"/>
                <w:szCs w:val="18"/>
                <w:lang w:eastAsia="zh-CN"/>
              </w:rPr>
            </w:pPr>
            <w:r>
              <w:rPr>
                <w:rFonts w:hint="eastAsia" w:ascii="宋体" w:hAnsi="宋体" w:cs="宋体"/>
                <w:color w:val="auto"/>
                <w:sz w:val="18"/>
                <w:szCs w:val="18"/>
                <w:lang w:val="en-US" w:eastAsia="zh-CN"/>
              </w:rPr>
              <w:t>轻工产品</w:t>
            </w:r>
          </w:p>
        </w:tc>
        <w:tc>
          <w:tcPr>
            <w:tcW w:w="1236" w:type="pct"/>
            <w:noWrap/>
            <w:vAlign w:val="center"/>
          </w:tcPr>
          <w:p>
            <w:pPr>
              <w:spacing w:line="320" w:lineRule="exact"/>
              <w:jc w:val="center"/>
              <w:rPr>
                <w:rFonts w:hint="default" w:ascii="宋体" w:eastAsia="宋体"/>
                <w:color w:val="auto"/>
                <w:sz w:val="18"/>
                <w:szCs w:val="18"/>
                <w:lang w:val="en-US" w:eastAsia="zh-CN"/>
              </w:rPr>
            </w:pPr>
            <w:r>
              <w:rPr>
                <w:rFonts w:hint="eastAsia" w:ascii="宋体" w:hAnsi="宋体" w:cs="宋体"/>
                <w:color w:val="auto"/>
                <w:sz w:val="18"/>
                <w:szCs w:val="18"/>
                <w:lang w:val="en-US" w:eastAsia="zh-CN"/>
              </w:rPr>
              <w:t>家用燃气用具</w:t>
            </w:r>
          </w:p>
        </w:tc>
        <w:tc>
          <w:tcPr>
            <w:tcW w:w="1236" w:type="pct"/>
          </w:tcPr>
          <w:p>
            <w:pPr>
              <w:spacing w:line="320" w:lineRule="exact"/>
              <w:jc w:val="center"/>
              <w:rPr>
                <w:rFonts w:hint="eastAsia" w:ascii="宋体" w:hAnsi="宋体" w:eastAsia="宋体" w:cs="宋体"/>
                <w:color w:val="auto"/>
                <w:sz w:val="18"/>
                <w:szCs w:val="18"/>
                <w:lang w:eastAsia="zh-CN"/>
              </w:rPr>
            </w:pPr>
            <w:r>
              <w:rPr>
                <w:rFonts w:hint="eastAsia" w:ascii="宋体" w:hAnsi="宋体" w:cs="宋体"/>
                <w:color w:val="auto"/>
                <w:sz w:val="18"/>
                <w:szCs w:val="18"/>
                <w:lang w:val="en-US" w:eastAsia="zh-CN"/>
              </w:rPr>
              <w:t>家用燃气灶</w:t>
            </w:r>
          </w:p>
        </w:tc>
      </w:tr>
    </w:tbl>
    <w:p>
      <w:pPr>
        <w:spacing w:line="360" w:lineRule="auto"/>
        <w:jc w:val="center"/>
        <w:rPr>
          <w:rFonts w:hint="eastAsia" w:ascii="宋体" w:hAnsi="宋体" w:cs="宋体"/>
          <w:color w:val="000000"/>
        </w:rPr>
      </w:pPr>
    </w:p>
    <w:p>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pPr>
        <w:snapToGrid w:val="0"/>
        <w:spacing w:line="360" w:lineRule="auto"/>
        <w:ind w:firstLine="420" w:firstLineChars="200"/>
        <w:rPr>
          <w:rFonts w:hint="eastAsia" w:ascii="宋体" w:eastAsia="宋体"/>
          <w:color w:val="000000"/>
          <w:lang w:val="en-US" w:eastAsia="zh-CN"/>
        </w:rPr>
      </w:pPr>
      <w:r>
        <w:rPr>
          <w:rFonts w:hint="eastAsia" w:ascii="宋体" w:hAnsi="宋体" w:cs="宋体"/>
          <w:color w:val="000000"/>
        </w:rPr>
        <w:t>本细则未列出的术语和定义同相关引用标准。</w:t>
      </w:r>
      <w:r>
        <w:rPr>
          <w:rFonts w:hint="eastAsia" w:ascii="宋体" w:hAnsi="宋体" w:cs="宋体"/>
          <w:color w:val="000000"/>
          <w:lang w:val="en-US" w:eastAsia="zh-CN"/>
        </w:rPr>
        <w:t xml:space="preserve"> </w:t>
      </w:r>
    </w:p>
    <w:p>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pPr>
        <w:snapToGrid w:val="0"/>
        <w:spacing w:line="360" w:lineRule="auto"/>
        <w:ind w:firstLine="359" w:firstLineChars="171"/>
        <w:rPr>
          <w:rFonts w:ascii="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eastAsia" w:ascii="宋体" w:hAnsi="宋体" w:cs="宋体"/>
          <w:kern w:val="0"/>
          <w:lang w:val="en-US" w:eastAsia="zh-CN"/>
        </w:rPr>
      </w:pPr>
      <w:r>
        <w:rPr>
          <w:rFonts w:hint="eastAsia" w:ascii="宋体" w:hAnsi="宋体" w:cs="宋体"/>
          <w:kern w:val="0"/>
          <w:lang w:val="en-US" w:eastAsia="zh-CN"/>
        </w:rPr>
        <w:t>GB 16410-2020 家用燃气灶具</w:t>
      </w:r>
    </w:p>
    <w:p>
      <w:pPr>
        <w:snapToGrid w:val="0"/>
        <w:spacing w:line="440" w:lineRule="exact"/>
        <w:ind w:firstLine="420" w:firstLineChars="200"/>
        <w:rPr>
          <w:rFonts w:hint="default" w:ascii="宋体" w:hAnsi="宋体" w:eastAsia="宋体" w:cs="宋体"/>
          <w:kern w:val="0"/>
          <w:lang w:val="en-US" w:eastAsia="zh-CN"/>
        </w:rPr>
      </w:pPr>
      <w:r>
        <w:rPr>
          <w:rFonts w:hint="default" w:ascii="宋体" w:hAnsi="宋体" w:eastAsia="宋体" w:cs="宋体"/>
          <w:kern w:val="0"/>
          <w:lang w:val="en-US" w:eastAsia="zh-CN"/>
        </w:rPr>
        <w:t>CEL 030-2016</w:t>
      </w:r>
      <w:r>
        <w:rPr>
          <w:rFonts w:hint="eastAsia"/>
          <w:lang w:val="en-US" w:eastAsia="zh-CN"/>
        </w:rPr>
        <w:t xml:space="preserve"> 家用燃气灶具能源效率标识实施规则</w:t>
      </w:r>
    </w:p>
    <w:p>
      <w:pPr>
        <w:snapToGrid w:val="0"/>
        <w:spacing w:line="440" w:lineRule="exact"/>
        <w:ind w:firstLine="420" w:firstLineChars="200"/>
        <w:rPr>
          <w:rFonts w:ascii="宋体"/>
          <w:kern w:val="0"/>
        </w:rPr>
      </w:pPr>
      <w:r>
        <w:rPr>
          <w:rFonts w:hint="eastAsia" w:ascii="宋体" w:hAnsi="宋体" w:cs="宋体"/>
          <w:kern w:val="0"/>
        </w:rPr>
        <w:t>相关的法律法规、部门规章和规定</w:t>
      </w:r>
    </w:p>
    <w:p>
      <w:pPr>
        <w:snapToGrid w:val="0"/>
        <w:spacing w:line="440" w:lineRule="exact"/>
        <w:ind w:firstLine="420" w:firstLineChars="200"/>
        <w:rPr>
          <w:rFonts w:ascii="宋体"/>
          <w:kern w:val="0"/>
        </w:rPr>
      </w:pPr>
      <w:r>
        <w:rPr>
          <w:rFonts w:hint="eastAsia" w:ascii="宋体" w:hAnsi="宋体" w:cs="宋体"/>
          <w:kern w:val="0"/>
        </w:rPr>
        <w:t>经网上自我声明公开或备案的现行有效企业标准及产品明示质量要求。</w:t>
      </w:r>
    </w:p>
    <w:p>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pPr>
        <w:spacing w:line="360" w:lineRule="auto"/>
        <w:rPr>
          <w:rFonts w:ascii="宋体"/>
          <w:color w:val="000000"/>
        </w:rPr>
      </w:pPr>
      <w:r>
        <w:rPr>
          <w:rFonts w:ascii="宋体" w:hAnsi="宋体" w:cs="宋体"/>
          <w:color w:val="000000"/>
        </w:rPr>
        <w:t>5.1</w:t>
      </w:r>
      <w:r>
        <w:rPr>
          <w:rFonts w:hint="eastAsia" w:ascii="宋体" w:hAnsi="宋体" w:cs="宋体"/>
          <w:color w:val="000000"/>
        </w:rPr>
        <w:t>　抽样方法</w:t>
      </w:r>
    </w:p>
    <w:p>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pPr>
        <w:spacing w:line="360" w:lineRule="auto"/>
        <w:ind w:firstLine="420" w:firstLineChars="200"/>
        <w:rPr>
          <w:rFonts w:ascii="宋体"/>
          <w:color w:val="000000"/>
        </w:rPr>
      </w:pPr>
      <w:r>
        <w:rPr>
          <w:rFonts w:hint="eastAsia" w:ascii="宋体" w:hAnsi="宋体" w:cs="宋体"/>
          <w:color w:val="000000"/>
        </w:rPr>
        <w:t>抽样基数满足抽样数量即可。</w:t>
      </w:r>
    </w:p>
    <w:p>
      <w:pPr>
        <w:spacing w:line="360" w:lineRule="auto"/>
        <w:rPr>
          <w:rFonts w:ascii="宋体"/>
          <w:color w:val="000000"/>
        </w:rPr>
      </w:pPr>
      <w:r>
        <w:rPr>
          <w:rFonts w:ascii="宋体" w:hAnsi="宋体" w:cs="宋体"/>
          <w:color w:val="000000"/>
        </w:rPr>
        <w:t>5.3</w:t>
      </w:r>
      <w:r>
        <w:rPr>
          <w:rFonts w:hint="eastAsia" w:ascii="宋体" w:hAnsi="宋体" w:cs="宋体"/>
          <w:color w:val="000000"/>
        </w:rPr>
        <w:t>　抽样数量</w:t>
      </w:r>
    </w:p>
    <w:p>
      <w:pPr>
        <w:snapToGrid w:val="0"/>
        <w:spacing w:line="440" w:lineRule="exact"/>
        <w:ind w:firstLine="420" w:firstLineChars="200"/>
        <w:rPr>
          <w:color w:val="000000"/>
        </w:rPr>
      </w:pPr>
      <w:r>
        <w:rPr>
          <w:rFonts w:hint="eastAsia" w:cs="宋体"/>
          <w:color w:val="000000"/>
        </w:rPr>
        <w:t>根据本细则规定的检验要求，同种型号规格</w:t>
      </w:r>
      <w:r>
        <w:rPr>
          <w:rFonts w:hint="eastAsia" w:ascii="宋体" w:hAnsi="宋体" w:cs="宋体"/>
        </w:rPr>
        <w:t>每批次产品抽取样品</w:t>
      </w:r>
      <w:r>
        <w:rPr>
          <w:rFonts w:hint="eastAsia" w:ascii="宋体" w:hAnsi="宋体" w:cs="宋体"/>
          <w:lang w:val="en-US" w:eastAsia="zh-CN"/>
        </w:rPr>
        <w:t>2台</w:t>
      </w:r>
      <w:r>
        <w:rPr>
          <w:rFonts w:hint="eastAsia" w:ascii="宋体" w:hAnsi="宋体" w:cs="宋体"/>
        </w:rPr>
        <w:t>，其中</w:t>
      </w:r>
      <w:r>
        <w:rPr>
          <w:rFonts w:hint="eastAsia" w:ascii="宋体" w:hAnsi="宋体" w:cs="宋体"/>
          <w:lang w:val="en-US" w:eastAsia="zh-CN"/>
        </w:rPr>
        <w:t>1台</w:t>
      </w:r>
      <w:r>
        <w:rPr>
          <w:rFonts w:hint="eastAsia" w:ascii="宋体" w:hAnsi="宋体" w:cs="宋体"/>
        </w:rPr>
        <w:t>为检验样品，</w:t>
      </w:r>
      <w:r>
        <w:rPr>
          <w:rFonts w:hint="eastAsia" w:ascii="宋体" w:hAnsi="宋体" w:cs="宋体"/>
          <w:lang w:val="en-US" w:eastAsia="zh-CN"/>
        </w:rPr>
        <w:t>1台</w:t>
      </w:r>
      <w:r>
        <w:rPr>
          <w:rFonts w:hint="eastAsia" w:ascii="宋体" w:hAnsi="宋体" w:cs="宋体"/>
        </w:rPr>
        <w:t>为备用样品。</w:t>
      </w:r>
      <w:r>
        <w:rPr>
          <w:rFonts w:hint="eastAsia" w:cs="宋体"/>
          <w:color w:val="000000"/>
        </w:rPr>
        <w:t>备用样品放置在被抽检商家。</w:t>
      </w:r>
    </w:p>
    <w:p>
      <w:pPr>
        <w:spacing w:line="360" w:lineRule="auto"/>
        <w:rPr>
          <w:rFonts w:ascii="宋体"/>
          <w:color w:val="000000"/>
        </w:rPr>
      </w:pPr>
      <w:r>
        <w:rPr>
          <w:rFonts w:ascii="宋体" w:hAnsi="宋体" w:cs="宋体"/>
          <w:color w:val="000000"/>
        </w:rPr>
        <w:t>5.4</w:t>
      </w:r>
      <w:r>
        <w:rPr>
          <w:rFonts w:hint="eastAsia" w:ascii="宋体" w:hAnsi="宋体" w:cs="宋体"/>
          <w:color w:val="000000"/>
        </w:rPr>
        <w:t>样品处置</w:t>
      </w:r>
    </w:p>
    <w:p>
      <w:pPr>
        <w:spacing w:line="360" w:lineRule="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pPr>
        <w:spacing w:line="360" w:lineRule="auto"/>
        <w:rPr>
          <w:rFonts w:ascii="宋体"/>
          <w:color w:val="000000"/>
        </w:rPr>
      </w:pPr>
      <w:r>
        <w:rPr>
          <w:rFonts w:ascii="宋体" w:hAnsi="宋体" w:cs="宋体"/>
          <w:color w:val="000000"/>
        </w:rPr>
        <w:t>5.5</w:t>
      </w:r>
      <w:r>
        <w:rPr>
          <w:rFonts w:hint="eastAsia" w:ascii="宋体" w:hAnsi="宋体" w:cs="宋体"/>
          <w:color w:val="000000"/>
        </w:rPr>
        <w:t>抽样单</w:t>
      </w:r>
    </w:p>
    <w:p>
      <w:pPr>
        <w:spacing w:line="360" w:lineRule="auto"/>
      </w:pPr>
      <w:r>
        <w:rPr>
          <w:rFonts w:hint="eastAsia" w:ascii="宋体" w:hAnsi="宋体" w:cs="宋体"/>
          <w:color w:val="000000"/>
        </w:rPr>
        <w:t>　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ascii="宋体" w:hAnsi="宋体" w:cs="宋体"/>
          <w:lang w:val="en-US" w:eastAsia="zh-CN"/>
        </w:rPr>
        <w:t>家用燃气灶</w:t>
      </w:r>
      <w:r>
        <w:rPr>
          <w:rFonts w:hint="eastAsia" w:ascii="宋体" w:hAnsi="宋体" w:cs="宋体"/>
          <w:color w:val="000000"/>
        </w:rPr>
        <w:t>产品销售总额，以万元计。对于产品检验所需的样品技术参数等信息，需要被抽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pPr>
        <w:spacing w:line="360" w:lineRule="auto"/>
        <w:rPr>
          <w:rFonts w:ascii="宋体"/>
          <w:color w:val="000000"/>
        </w:rPr>
      </w:pPr>
      <w:r>
        <w:rPr>
          <w:rFonts w:ascii="宋体" w:hAnsi="宋体" w:cs="宋体"/>
          <w:color w:val="000000"/>
        </w:rPr>
        <w:t>5.6</w:t>
      </w:r>
      <w:r>
        <w:rPr>
          <w:rFonts w:hint="eastAsia" w:ascii="宋体" w:hAnsi="宋体" w:cs="宋体"/>
          <w:color w:val="000000"/>
        </w:rPr>
        <w:t>抽样费用</w:t>
      </w:r>
    </w:p>
    <w:p>
      <w:pPr>
        <w:pStyle w:val="25"/>
        <w:rPr>
          <w:rFonts w:cs="Times New Roman"/>
        </w:rPr>
      </w:pPr>
      <w:r>
        <w:rPr>
          <w:rFonts w:hint="eastAsia" w:ascii="宋体" w:hAnsi="宋体" w:cs="宋体"/>
          <w:spacing w:val="0"/>
          <w:kern w:val="2"/>
          <w:sz w:val="21"/>
          <w:szCs w:val="21"/>
        </w:rPr>
        <w:t>付费购买，或由被抽样商家无偿提供。</w:t>
      </w:r>
    </w:p>
    <w:p>
      <w:pPr>
        <w:spacing w:line="360" w:lineRule="auto"/>
        <w:rPr>
          <w:rFonts w:ascii="宋体"/>
          <w:color w:val="000000"/>
        </w:rPr>
      </w:pPr>
      <w:r>
        <w:rPr>
          <w:rFonts w:ascii="宋体" w:hAnsi="宋体" w:cs="宋体"/>
          <w:color w:val="000000"/>
        </w:rPr>
        <w:t>5.7</w:t>
      </w:r>
      <w:r>
        <w:rPr>
          <w:rFonts w:hint="eastAsia" w:ascii="宋体" w:hAnsi="宋体" w:cs="宋体"/>
          <w:color w:val="000000"/>
        </w:rPr>
        <w:t>　注意事项</w:t>
      </w:r>
    </w:p>
    <w:p>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pPr>
        <w:spacing w:line="360" w:lineRule="auto"/>
        <w:rPr>
          <w:rFonts w:ascii="黑体" w:hAnsi="宋体" w:eastAsia="黑体"/>
          <w:b/>
          <w:bCs/>
          <w:color w:val="000000"/>
        </w:rPr>
      </w:pPr>
      <w:r>
        <w:rPr>
          <w:rFonts w:ascii="黑体" w:hAnsi="宋体" w:eastAsia="黑体" w:cs="黑体"/>
          <w:b/>
          <w:bCs/>
          <w:color w:val="000000"/>
        </w:rPr>
        <w:t xml:space="preserve">6. </w:t>
      </w:r>
      <w:r>
        <w:rPr>
          <w:rFonts w:hint="eastAsia" w:ascii="黑体" w:hAnsi="宋体" w:eastAsia="黑体" w:cs="黑体"/>
          <w:b/>
          <w:bCs/>
          <w:color w:val="000000"/>
        </w:rPr>
        <w:t>检验要求</w:t>
      </w:r>
    </w:p>
    <w:p>
      <w:pPr>
        <w:rPr>
          <w:rFonts w:hint="eastAsia" w:ascii="宋体" w:cs="宋体"/>
          <w:color w:val="000000"/>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及重要程度分类</w:t>
      </w:r>
      <w:r>
        <w:rPr>
          <w:rFonts w:hint="eastAsia" w:ascii="宋体" w:cs="宋体"/>
          <w:color w:val="000000"/>
        </w:rPr>
        <w:t>见表</w:t>
      </w:r>
      <w:r>
        <w:rPr>
          <w:rFonts w:hint="eastAsia" w:ascii="宋体" w:cs="宋体"/>
          <w:color w:val="000000"/>
          <w:lang w:val="en-US" w:eastAsia="zh-CN"/>
        </w:rPr>
        <w:t>2</w:t>
      </w:r>
      <w:r>
        <w:rPr>
          <w:rFonts w:hint="eastAsia" w:ascii="宋体" w:cs="宋体"/>
          <w:color w:val="000000"/>
        </w:rPr>
        <w:t xml:space="preserve">。     </w:t>
      </w:r>
    </w:p>
    <w:p>
      <w:pPr>
        <w:jc w:val="center"/>
        <w:rPr>
          <w:rFonts w:hint="default" w:ascii="宋体" w:cs="宋体"/>
          <w:color w:val="000000"/>
          <w:lang w:val="en-US" w:eastAsia="zh-CN"/>
        </w:rPr>
      </w:pPr>
      <w:r>
        <w:rPr>
          <w:rFonts w:hint="eastAsia" w:ascii="宋体" w:cs="宋体"/>
          <w:color w:val="000000"/>
        </w:rPr>
        <w:br w:type="page"/>
      </w:r>
      <w:r>
        <w:rPr>
          <w:rFonts w:hint="eastAsia" w:ascii="宋体" w:cs="宋体"/>
          <w:color w:val="000000"/>
        </w:rPr>
        <w:t>表</w:t>
      </w:r>
      <w:r>
        <w:rPr>
          <w:rFonts w:hint="eastAsia" w:ascii="宋体" w:cs="宋体"/>
          <w:color w:val="000000"/>
          <w:lang w:val="en-US" w:eastAsia="zh-CN"/>
        </w:rPr>
        <w:t>2 家用燃气灶</w:t>
      </w:r>
    </w:p>
    <w:tbl>
      <w:tblPr>
        <w:tblStyle w:val="11"/>
        <w:tblpPr w:leftFromText="180" w:rightFromText="180" w:vertAnchor="text" w:horzAnchor="page" w:tblpX="1697" w:tblpY="419"/>
        <w:tblOverlap w:val="never"/>
        <w:tblW w:w="88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934"/>
        <w:gridCol w:w="1987"/>
        <w:gridCol w:w="2100"/>
        <w:gridCol w:w="1088"/>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661" w:type="dxa"/>
            <w:noWrap/>
            <w:vAlign w:val="center"/>
          </w:tcPr>
          <w:p>
            <w:pPr>
              <w:pStyle w:val="8"/>
              <w:adjustRightInd w:val="0"/>
              <w:snapToGrid w:val="0"/>
              <w:jc w:val="center"/>
              <w:rPr>
                <w:rFonts w:hAnsi="宋体" w:cs="Times New Roman"/>
                <w:color w:val="000000"/>
              </w:rPr>
            </w:pPr>
            <w:r>
              <w:rPr>
                <w:rFonts w:hint="eastAsia" w:hAnsi="宋体"/>
                <w:color w:val="000000"/>
              </w:rPr>
              <w:t>序号</w:t>
            </w:r>
          </w:p>
        </w:tc>
        <w:tc>
          <w:tcPr>
            <w:tcW w:w="1934" w:type="dxa"/>
            <w:noWrap/>
            <w:vAlign w:val="center"/>
          </w:tcPr>
          <w:p>
            <w:pPr>
              <w:pStyle w:val="8"/>
              <w:adjustRightInd w:val="0"/>
              <w:snapToGrid w:val="0"/>
              <w:jc w:val="center"/>
              <w:rPr>
                <w:rFonts w:hAnsi="宋体" w:cs="Times New Roman"/>
                <w:color w:val="000000"/>
              </w:rPr>
            </w:pPr>
            <w:r>
              <w:rPr>
                <w:rFonts w:hint="eastAsia" w:hAnsi="宋体"/>
                <w:color w:val="000000"/>
              </w:rPr>
              <w:t>检验项目</w:t>
            </w:r>
          </w:p>
        </w:tc>
        <w:tc>
          <w:tcPr>
            <w:tcW w:w="1987" w:type="dxa"/>
            <w:noWrap/>
            <w:vAlign w:val="center"/>
          </w:tcPr>
          <w:p>
            <w:pPr>
              <w:adjustRightInd w:val="0"/>
              <w:snapToGrid w:val="0"/>
              <w:jc w:val="center"/>
              <w:rPr>
                <w:rFonts w:ascii="宋体"/>
                <w:color w:val="000000"/>
              </w:rPr>
            </w:pPr>
            <w:r>
              <w:rPr>
                <w:rFonts w:hint="eastAsia" w:ascii="宋体" w:hAnsi="宋体" w:cs="宋体"/>
                <w:color w:val="000000"/>
              </w:rPr>
              <w:t>依据标准</w:t>
            </w:r>
          </w:p>
          <w:p>
            <w:pPr>
              <w:adjustRightInd w:val="0"/>
              <w:snapToGrid w:val="0"/>
              <w:jc w:val="center"/>
              <w:rPr>
                <w:rFonts w:ascii="宋体"/>
                <w:color w:val="000000"/>
              </w:rPr>
            </w:pPr>
            <w:r>
              <w:rPr>
                <w:rFonts w:hint="eastAsia" w:ascii="宋体" w:hAnsi="宋体" w:cs="宋体"/>
                <w:color w:val="000000"/>
              </w:rPr>
              <w:t>及条款</w:t>
            </w:r>
          </w:p>
        </w:tc>
        <w:tc>
          <w:tcPr>
            <w:tcW w:w="2100" w:type="dxa"/>
            <w:noWrap/>
            <w:vAlign w:val="center"/>
          </w:tcPr>
          <w:p>
            <w:pPr>
              <w:adjustRightInd w:val="0"/>
              <w:snapToGrid w:val="0"/>
              <w:jc w:val="center"/>
              <w:rPr>
                <w:rFonts w:ascii="宋体"/>
                <w:color w:val="000000"/>
              </w:rPr>
            </w:pPr>
            <w:r>
              <w:rPr>
                <w:rFonts w:hint="eastAsia" w:ascii="宋体" w:hAnsi="宋体" w:cs="宋体"/>
                <w:color w:val="000000"/>
              </w:rPr>
              <w:t>检验方法</w:t>
            </w:r>
          </w:p>
          <w:p>
            <w:pPr>
              <w:adjustRightInd w:val="0"/>
              <w:snapToGrid w:val="0"/>
              <w:jc w:val="center"/>
              <w:rPr>
                <w:rFonts w:ascii="宋体"/>
                <w:color w:val="000000"/>
              </w:rPr>
            </w:pPr>
            <w:r>
              <w:rPr>
                <w:rFonts w:hint="eastAsia" w:ascii="宋体" w:hAnsi="宋体" w:cs="宋体"/>
                <w:color w:val="000000"/>
              </w:rPr>
              <w:t>及条款</w:t>
            </w:r>
          </w:p>
        </w:tc>
        <w:tc>
          <w:tcPr>
            <w:tcW w:w="1088" w:type="dxa"/>
            <w:noWrap/>
            <w:vAlign w:val="center"/>
          </w:tcPr>
          <w:p>
            <w:pPr>
              <w:pStyle w:val="8"/>
              <w:adjustRightInd w:val="0"/>
              <w:snapToGrid w:val="0"/>
              <w:jc w:val="center"/>
              <w:rPr>
                <w:rFonts w:hAnsi="宋体" w:cs="Times New Roman"/>
                <w:color w:val="000000"/>
              </w:rPr>
            </w:pPr>
            <w:r>
              <w:rPr>
                <w:rFonts w:hint="eastAsia" w:hAnsi="宋体"/>
                <w:color w:val="000000"/>
              </w:rPr>
              <w:t>重要程度类别</w:t>
            </w:r>
          </w:p>
        </w:tc>
        <w:tc>
          <w:tcPr>
            <w:tcW w:w="1039" w:type="dxa"/>
            <w:noWrap/>
            <w:vAlign w:val="center"/>
          </w:tcPr>
          <w:p>
            <w:pPr>
              <w:pStyle w:val="8"/>
              <w:adjustRightInd w:val="0"/>
              <w:snapToGrid w:val="0"/>
              <w:jc w:val="center"/>
              <w:rPr>
                <w:rFonts w:hAnsi="宋体" w:cs="Times New Roman"/>
                <w:color w:val="000000"/>
              </w:rPr>
            </w:pPr>
            <w:r>
              <w:rPr>
                <w:rFonts w:hint="eastAsia" w:hAnsi="宋体"/>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blHeader/>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标志（含能效标识）</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7.1</w:t>
            </w:r>
            <w:r>
              <w:rPr>
                <w:rFonts w:hint="eastAsia" w:ascii="宋体" w:hAnsi="宋体" w:eastAsia="宋体" w:cs="宋体"/>
                <w:kern w:val="0"/>
                <w:sz w:val="21"/>
                <w:szCs w:val="21"/>
              </w:rPr>
              <w:t>章</w:t>
            </w:r>
          </w:p>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CEL 030-2016</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第2章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第7.1章</w:t>
            </w:r>
          </w:p>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CEL 030-2016</w:t>
            </w:r>
          </w:p>
          <w:p>
            <w:pPr>
              <w:pStyle w:val="2"/>
              <w:ind w:left="0" w:leftChars="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第2章</w:t>
            </w:r>
          </w:p>
        </w:tc>
        <w:tc>
          <w:tcPr>
            <w:tcW w:w="1088" w:type="dxa"/>
            <w:noWrap/>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w:t>
            </w:r>
          </w:p>
        </w:tc>
        <w:tc>
          <w:tcPr>
            <w:tcW w:w="1039" w:type="dxa"/>
            <w:noWrap/>
            <w:vAlign w:val="center"/>
          </w:tcPr>
          <w:p>
            <w:pPr>
              <w:widowControl/>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燃气系统气密性</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5.2.1</w:t>
            </w:r>
            <w:r>
              <w:rPr>
                <w:rFonts w:hint="eastAsia" w:ascii="宋体" w:hAnsi="宋体" w:eastAsia="宋体" w:cs="宋体"/>
                <w:kern w:val="0"/>
                <w:sz w:val="21"/>
                <w:szCs w:val="21"/>
              </w:rPr>
              <w:t>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sz w:val="21"/>
                <w:szCs w:val="21"/>
                <w:lang w:val="en-US" w:bidi="ar-SA"/>
              </w:rPr>
            </w:pPr>
            <w:r>
              <w:rPr>
                <w:rFonts w:hint="eastAsia" w:ascii="宋体" w:hAnsi="宋体" w:eastAsia="宋体" w:cs="宋体"/>
                <w:kern w:val="0"/>
                <w:sz w:val="21"/>
                <w:szCs w:val="21"/>
                <w:lang w:val="en-US" w:eastAsia="zh-CN"/>
              </w:rPr>
              <w:t xml:space="preserve"> 第6.6章</w:t>
            </w:r>
          </w:p>
        </w:tc>
        <w:tc>
          <w:tcPr>
            <w:tcW w:w="1088" w:type="dxa"/>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A</w:t>
            </w:r>
          </w:p>
        </w:tc>
        <w:tc>
          <w:tcPr>
            <w:tcW w:w="1039" w:type="dxa"/>
            <w:noWrap/>
            <w:vAlign w:val="center"/>
          </w:tcPr>
          <w:p>
            <w:pPr>
              <w:adjustRightInd w:val="0"/>
              <w:snapToGrid w:val="0"/>
              <w:jc w:val="center"/>
              <w:rPr>
                <w:rFonts w:hint="eastAsia"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燃烧工况（无风状态）（火焰稳定性、燃烧噪声、熄火噪声、烟气中CO含量）</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5.2.3</w:t>
            </w:r>
            <w:r>
              <w:rPr>
                <w:rFonts w:hint="eastAsia" w:ascii="宋体" w:hAnsi="宋体" w:eastAsia="宋体" w:cs="宋体"/>
                <w:kern w:val="0"/>
                <w:sz w:val="21"/>
                <w:szCs w:val="21"/>
              </w:rPr>
              <w:t>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sz w:val="21"/>
                <w:szCs w:val="21"/>
                <w:lang w:val="en-US" w:bidi="ar-SA"/>
              </w:rPr>
            </w:pPr>
            <w:r>
              <w:rPr>
                <w:rFonts w:hint="eastAsia" w:ascii="宋体" w:hAnsi="宋体" w:eastAsia="宋体" w:cs="宋体"/>
                <w:kern w:val="0"/>
                <w:sz w:val="21"/>
                <w:szCs w:val="21"/>
                <w:lang w:val="en-US" w:eastAsia="zh-CN"/>
              </w:rPr>
              <w:t xml:space="preserve"> 第6.8章</w:t>
            </w:r>
          </w:p>
        </w:tc>
        <w:tc>
          <w:tcPr>
            <w:tcW w:w="1088" w:type="dxa"/>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A</w:t>
            </w:r>
          </w:p>
        </w:tc>
        <w:tc>
          <w:tcPr>
            <w:tcW w:w="1039" w:type="dxa"/>
            <w:noWrap/>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安全装置（熄火保护装置）</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5.2.8</w:t>
            </w:r>
            <w:r>
              <w:rPr>
                <w:rFonts w:hint="eastAsia" w:ascii="宋体" w:hAnsi="宋体" w:eastAsia="宋体" w:cs="宋体"/>
                <w:kern w:val="0"/>
                <w:sz w:val="21"/>
                <w:szCs w:val="21"/>
              </w:rPr>
              <w:t>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sz w:val="21"/>
                <w:szCs w:val="21"/>
                <w:lang w:val="en-US" w:bidi="ar-SA"/>
              </w:rPr>
            </w:pPr>
            <w:r>
              <w:rPr>
                <w:rFonts w:hint="eastAsia" w:ascii="宋体" w:hAnsi="宋体" w:eastAsia="宋体" w:cs="宋体"/>
                <w:kern w:val="0"/>
                <w:sz w:val="21"/>
                <w:szCs w:val="21"/>
                <w:lang w:val="en-US" w:eastAsia="zh-CN"/>
              </w:rPr>
              <w:t xml:space="preserve"> 第6.12章</w:t>
            </w:r>
          </w:p>
        </w:tc>
        <w:tc>
          <w:tcPr>
            <w:tcW w:w="1088" w:type="dxa"/>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A</w:t>
            </w:r>
          </w:p>
        </w:tc>
        <w:tc>
          <w:tcPr>
            <w:tcW w:w="1039" w:type="dxa"/>
            <w:noWrap/>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09" w:type="dxa"/>
            <w:gridSpan w:val="6"/>
            <w:noWrap/>
            <w:vAlign w:val="center"/>
          </w:tcPr>
          <w:p>
            <w:pPr>
              <w:adjustRightInd w:val="0"/>
              <w:snapToGrid w:val="0"/>
              <w:spacing w:line="360" w:lineRule="auto"/>
              <w:rPr>
                <w:rFonts w:ascii="宋体"/>
                <w:color w:val="000000"/>
                <w:sz w:val="21"/>
                <w:szCs w:val="21"/>
              </w:rPr>
            </w:pPr>
            <w:r>
              <w:rPr>
                <w:rFonts w:ascii="宋体" w:hAnsi="宋体" w:cs="宋体"/>
                <w:color w:val="000000"/>
                <w:sz w:val="21"/>
                <w:szCs w:val="21"/>
              </w:rPr>
              <w:t>A</w:t>
            </w:r>
            <w:r>
              <w:rPr>
                <w:rFonts w:hint="eastAsia" w:ascii="宋体" w:hAnsi="宋体" w:cs="宋体"/>
                <w:color w:val="000000"/>
                <w:sz w:val="21"/>
                <w:szCs w:val="21"/>
              </w:rPr>
              <w:t>为极重要质量项目</w:t>
            </w:r>
            <w:r>
              <w:rPr>
                <w:rFonts w:hint="eastAsia" w:ascii="宋体"/>
                <w:color w:val="000000"/>
                <w:sz w:val="21"/>
                <w:szCs w:val="21"/>
              </w:rPr>
              <w:t xml:space="preserve">    </w:t>
            </w:r>
            <w:r>
              <w:rPr>
                <w:rFonts w:ascii="宋体" w:hAnsi="宋体" w:cs="宋体"/>
                <w:color w:val="000000"/>
                <w:sz w:val="21"/>
                <w:szCs w:val="21"/>
              </w:rPr>
              <w:t>B</w:t>
            </w:r>
            <w:r>
              <w:rPr>
                <w:rFonts w:hint="eastAsia" w:ascii="宋体" w:hAnsi="宋体" w:cs="宋体"/>
                <w:color w:val="000000"/>
                <w:sz w:val="21"/>
                <w:szCs w:val="21"/>
              </w:rPr>
              <w:t>为重要质量项目</w:t>
            </w:r>
          </w:p>
        </w:tc>
      </w:tr>
    </w:tbl>
    <w:p>
      <w:pPr>
        <w:snapToGrid w:val="0"/>
        <w:spacing w:line="360" w:lineRule="auto"/>
        <w:ind w:firstLine="358" w:firstLineChars="199"/>
        <w:rPr>
          <w:rFonts w:hint="eastAsia" w:ascii="宋体" w:hAnsi="宋体" w:cs="宋体"/>
          <w:sz w:val="18"/>
          <w:szCs w:val="18"/>
        </w:rPr>
      </w:pPr>
    </w:p>
    <w:p>
      <w:pPr>
        <w:snapToGrid w:val="0"/>
        <w:spacing w:line="360" w:lineRule="auto"/>
        <w:ind w:firstLine="358" w:firstLineChars="199"/>
        <w:rPr>
          <w:rFonts w:hint="eastAsia" w:ascii="宋体" w:hAnsi="宋体" w:cs="宋体"/>
          <w:sz w:val="18"/>
          <w:szCs w:val="18"/>
        </w:rPr>
      </w:pPr>
    </w:p>
    <w:p>
      <w:pPr>
        <w:snapToGrid w:val="0"/>
        <w:spacing w:line="360" w:lineRule="auto"/>
        <w:ind w:firstLine="358" w:firstLineChars="199"/>
        <w:rPr>
          <w:rFonts w:ascii="宋体"/>
          <w:sz w:val="18"/>
          <w:szCs w:val="18"/>
        </w:rPr>
      </w:pPr>
      <w:r>
        <w:rPr>
          <w:rFonts w:hint="eastAsia" w:ascii="宋体" w:hAnsi="宋体" w:cs="宋体"/>
          <w:sz w:val="18"/>
          <w:szCs w:val="18"/>
        </w:rPr>
        <w:t>注：</w:t>
      </w:r>
    </w:p>
    <w:p>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ascii="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pPr>
        <w:spacing w:line="360" w:lineRule="auto"/>
        <w:rPr>
          <w:rFonts w:ascii="黑体" w:hAnsi="宋体" w:eastAsia="黑体"/>
          <w:b/>
          <w:bCs/>
          <w:color w:val="000000"/>
        </w:rPr>
      </w:pPr>
      <w:r>
        <w:rPr>
          <w:rFonts w:ascii="黑体" w:hAnsi="宋体" w:eastAsia="黑体" w:cs="黑体"/>
          <w:b/>
          <w:bCs/>
          <w:color w:val="000000"/>
        </w:rPr>
        <w:t>6.2</w:t>
      </w:r>
      <w:r>
        <w:rPr>
          <w:rFonts w:hint="eastAsia" w:ascii="黑体" w:hAnsi="宋体" w:eastAsia="黑体" w:cs="黑体"/>
          <w:b/>
          <w:bCs/>
          <w:color w:val="000000"/>
        </w:rPr>
        <w:t>检验应注意的问题</w:t>
      </w:r>
    </w:p>
    <w:p>
      <w:pPr>
        <w:pStyle w:val="8"/>
        <w:adjustRightInd w:val="0"/>
        <w:snapToGrid w:val="0"/>
        <w:spacing w:line="360" w:lineRule="auto"/>
        <w:rPr>
          <w:rFonts w:hAnsi="宋体" w:cs="Times New Roman"/>
          <w:color w:val="000000"/>
        </w:rPr>
      </w:pPr>
      <w:r>
        <w:rPr>
          <w:rFonts w:hAnsi="宋体"/>
          <w:color w:val="000000"/>
        </w:rPr>
        <w:t xml:space="preserve">6.2.1 </w:t>
      </w:r>
      <w:r>
        <w:rPr>
          <w:rFonts w:hint="eastAsia" w:hAnsi="宋体"/>
          <w:color w:val="000000"/>
        </w:rPr>
        <w:t>取样要求</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pPr>
        <w:spacing w:beforeLines="50"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rPr>
        <w:t>检验结论用语</w:t>
      </w:r>
    </w:p>
    <w:p>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bookmarkStart w:id="0" w:name="_GoBack"/>
      <w:bookmarkEnd w:id="0"/>
      <w:r>
        <w:rPr>
          <w:rFonts w:hint="eastAsia" w:ascii="宋体" w:hAnsi="宋体" w:cs="宋体"/>
          <w:lang w:val="en-US" w:eastAsia="zh-CN"/>
        </w:rPr>
        <w:t>2024</w:t>
      </w:r>
      <w:r>
        <w:rPr>
          <w:rFonts w:hint="eastAsia" w:ascii="宋体" w:hAnsi="宋体" w:cs="宋体"/>
        </w:rPr>
        <w:t>年莆田市流通领域产品质量监督抽查实施细则</w:t>
      </w:r>
      <w:r>
        <w:rPr>
          <w:rFonts w:hint="eastAsia" w:ascii="宋体" w:hAnsi="宋体" w:cs="宋体"/>
          <w:color w:val="000000"/>
          <w:lang w:val="en-US" w:eastAsia="zh-CN"/>
        </w:rPr>
        <w:t>家用燃气灶</w:t>
      </w:r>
      <w:r>
        <w:rPr>
          <w:rFonts w:hint="eastAsia" w:ascii="宋体" w:hAnsi="宋体" w:cs="宋体"/>
        </w:rPr>
        <w:t>》（或方案）</w:t>
      </w:r>
      <w:r>
        <w:rPr>
          <w:rFonts w:hint="eastAsia" w:ascii="宋体" w:hAnsi="宋体" w:cs="宋体"/>
          <w:color w:val="000000"/>
        </w:rPr>
        <w:t>，判定为合格；</w:t>
      </w:r>
    </w:p>
    <w:p>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hint="eastAsia" w:ascii="宋体" w:hAnsi="宋体" w:cs="宋体"/>
          <w:lang w:val="en-US" w:eastAsia="zh-CN"/>
        </w:rPr>
        <w:t>2024</w:t>
      </w:r>
      <w:r>
        <w:rPr>
          <w:rFonts w:hint="eastAsia" w:ascii="宋体" w:hAnsi="宋体" w:cs="宋体"/>
        </w:rPr>
        <w:t>年莆田市流通领域产品质量监督抽查实施细则</w:t>
      </w:r>
      <w:r>
        <w:rPr>
          <w:rFonts w:hint="eastAsia" w:ascii="宋体" w:hAnsi="宋体" w:cs="宋体"/>
          <w:color w:val="000000"/>
          <w:lang w:val="en-US" w:eastAsia="zh-CN"/>
        </w:rPr>
        <w:t>家用燃气灶</w:t>
      </w:r>
      <w:r>
        <w:rPr>
          <w:rFonts w:hint="eastAsia" w:ascii="宋体" w:hAnsi="宋体" w:cs="宋体"/>
        </w:rPr>
        <w:t>》（或方案）</w:t>
      </w:r>
      <w:r>
        <w:rPr>
          <w:rFonts w:hint="eastAsia" w:ascii="宋体" w:hAnsi="宋体" w:cs="宋体"/>
          <w:color w:val="000000"/>
        </w:rPr>
        <w:t>，判定为不合格；</w:t>
      </w:r>
    </w:p>
    <w:p>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hint="eastAsia" w:ascii="宋体" w:hAnsi="宋体" w:cs="宋体"/>
          <w:lang w:val="en-US" w:eastAsia="zh-CN"/>
        </w:rPr>
        <w:t>2024</w:t>
      </w:r>
      <w:r>
        <w:rPr>
          <w:rFonts w:hint="eastAsia" w:ascii="宋体" w:hAnsi="宋体" w:cs="宋体"/>
        </w:rPr>
        <w:t>年莆田市流通领域产品质量监督抽查实施细则</w:t>
      </w:r>
      <w:r>
        <w:rPr>
          <w:rFonts w:hint="eastAsia" w:ascii="宋体" w:hAnsi="宋体" w:cs="宋体"/>
          <w:color w:val="000000"/>
          <w:lang w:val="en-US" w:eastAsia="zh-CN"/>
        </w:rPr>
        <w:t>家用燃气灶</w:t>
      </w:r>
      <w:r>
        <w:rPr>
          <w:rFonts w:hint="eastAsia" w:ascii="宋体" w:hAnsi="宋体" w:cs="宋体"/>
        </w:rPr>
        <w:t>》（或方案）</w:t>
      </w:r>
      <w:r>
        <w:rPr>
          <w:rFonts w:hint="eastAsia" w:ascii="宋体" w:hAnsi="宋体" w:cs="宋体"/>
          <w:color w:val="000000"/>
        </w:rPr>
        <w:t>，判定为不合格，属于严重不合格。</w:t>
      </w:r>
    </w:p>
    <w:p>
      <w:pPr>
        <w:spacing w:beforeLines="50"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Ansi="宋体" w:cs="Times New Roman"/>
          <w:color w:val="000000"/>
        </w:rPr>
      </w:pPr>
      <w:r>
        <w:rPr>
          <w:rFonts w:hAnsi="宋体"/>
          <w:color w:val="000000"/>
        </w:rPr>
        <w:t>8.3</w:t>
      </w:r>
      <w:r>
        <w:rPr>
          <w:rFonts w:hint="eastAsia" w:hAnsi="宋体"/>
          <w:color w:val="000000"/>
        </w:rPr>
        <w:t>　不予复检的情况</w:t>
      </w:r>
    </w:p>
    <w:p>
      <w:pPr>
        <w:pStyle w:val="8"/>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pPr>
        <w:snapToGrid w:val="0"/>
        <w:spacing w:line="440" w:lineRule="exact"/>
        <w:ind w:firstLine="420" w:firstLineChars="200"/>
      </w:pPr>
      <w:r>
        <w:rPr>
          <w:rFonts w:hint="eastAsia" w:ascii="宋体" w:hAnsi="宋体" w:cs="宋体"/>
          <w:color w:val="000000"/>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c1ZGM3NzViZWQ2MTBkNmMwNjc4YmIyNjBjMzU4MmQifQ=="/>
  </w:docVars>
  <w:rsids>
    <w:rsidRoot w:val="65BC200F"/>
    <w:rsid w:val="00091E12"/>
    <w:rsid w:val="00100BAC"/>
    <w:rsid w:val="00107002"/>
    <w:rsid w:val="001639C4"/>
    <w:rsid w:val="00176834"/>
    <w:rsid w:val="002A1E8D"/>
    <w:rsid w:val="00311764"/>
    <w:rsid w:val="00344D4A"/>
    <w:rsid w:val="00380E77"/>
    <w:rsid w:val="004C058C"/>
    <w:rsid w:val="004F1392"/>
    <w:rsid w:val="00502B34"/>
    <w:rsid w:val="005D7B73"/>
    <w:rsid w:val="00827141"/>
    <w:rsid w:val="008271B5"/>
    <w:rsid w:val="00940248"/>
    <w:rsid w:val="00AC7E45"/>
    <w:rsid w:val="00AE69A1"/>
    <w:rsid w:val="00C06937"/>
    <w:rsid w:val="00CD573C"/>
    <w:rsid w:val="00CE1FF8"/>
    <w:rsid w:val="00D25A85"/>
    <w:rsid w:val="00D27254"/>
    <w:rsid w:val="00D3025C"/>
    <w:rsid w:val="00D34880"/>
    <w:rsid w:val="00E258B3"/>
    <w:rsid w:val="00E85FE0"/>
    <w:rsid w:val="00EF74F6"/>
    <w:rsid w:val="01E26D14"/>
    <w:rsid w:val="02945004"/>
    <w:rsid w:val="030108E3"/>
    <w:rsid w:val="043D3A95"/>
    <w:rsid w:val="044B0AD3"/>
    <w:rsid w:val="052E2890"/>
    <w:rsid w:val="05346D37"/>
    <w:rsid w:val="05DA0179"/>
    <w:rsid w:val="06756BDB"/>
    <w:rsid w:val="08584C96"/>
    <w:rsid w:val="0B15694E"/>
    <w:rsid w:val="0B39442D"/>
    <w:rsid w:val="0B7C71BE"/>
    <w:rsid w:val="0BB05F2E"/>
    <w:rsid w:val="0CE10EC4"/>
    <w:rsid w:val="0D077DD0"/>
    <w:rsid w:val="0D6E1A66"/>
    <w:rsid w:val="0F905D8F"/>
    <w:rsid w:val="11040E7E"/>
    <w:rsid w:val="12CD5F7F"/>
    <w:rsid w:val="15714F75"/>
    <w:rsid w:val="1690695D"/>
    <w:rsid w:val="16B73FF5"/>
    <w:rsid w:val="19947AD6"/>
    <w:rsid w:val="1A680A85"/>
    <w:rsid w:val="1C985A30"/>
    <w:rsid w:val="1D934B97"/>
    <w:rsid w:val="1DA06AD8"/>
    <w:rsid w:val="1F756075"/>
    <w:rsid w:val="1FF77E85"/>
    <w:rsid w:val="2022079E"/>
    <w:rsid w:val="216C5459"/>
    <w:rsid w:val="21C22C34"/>
    <w:rsid w:val="2315301B"/>
    <w:rsid w:val="27333A91"/>
    <w:rsid w:val="29993923"/>
    <w:rsid w:val="2A0E4487"/>
    <w:rsid w:val="2A9B142A"/>
    <w:rsid w:val="2C685FD9"/>
    <w:rsid w:val="2D696584"/>
    <w:rsid w:val="2DB356B5"/>
    <w:rsid w:val="2E2B3B8C"/>
    <w:rsid w:val="2FD97B27"/>
    <w:rsid w:val="31123368"/>
    <w:rsid w:val="313E0DFF"/>
    <w:rsid w:val="316D051A"/>
    <w:rsid w:val="32D072C1"/>
    <w:rsid w:val="3338197A"/>
    <w:rsid w:val="338A6A44"/>
    <w:rsid w:val="33FE6B41"/>
    <w:rsid w:val="349F0D56"/>
    <w:rsid w:val="366F769B"/>
    <w:rsid w:val="3A6C7120"/>
    <w:rsid w:val="420A21B1"/>
    <w:rsid w:val="4561539F"/>
    <w:rsid w:val="46310CD4"/>
    <w:rsid w:val="489872B8"/>
    <w:rsid w:val="499046CE"/>
    <w:rsid w:val="4A6879EB"/>
    <w:rsid w:val="4AA74E93"/>
    <w:rsid w:val="4AFE4A22"/>
    <w:rsid w:val="4CA73862"/>
    <w:rsid w:val="4DC37D9D"/>
    <w:rsid w:val="4E352998"/>
    <w:rsid w:val="4E86692D"/>
    <w:rsid w:val="51B74D6E"/>
    <w:rsid w:val="52782F0B"/>
    <w:rsid w:val="52837AF5"/>
    <w:rsid w:val="53327A9E"/>
    <w:rsid w:val="53C659C5"/>
    <w:rsid w:val="55264BB5"/>
    <w:rsid w:val="552C6ACA"/>
    <w:rsid w:val="558330E1"/>
    <w:rsid w:val="56F54381"/>
    <w:rsid w:val="56FD623A"/>
    <w:rsid w:val="582F5691"/>
    <w:rsid w:val="58694689"/>
    <w:rsid w:val="58E84B16"/>
    <w:rsid w:val="5B564224"/>
    <w:rsid w:val="5C6624A6"/>
    <w:rsid w:val="5D0A1D33"/>
    <w:rsid w:val="5E946B2E"/>
    <w:rsid w:val="62502FB6"/>
    <w:rsid w:val="63955BF9"/>
    <w:rsid w:val="63B8098A"/>
    <w:rsid w:val="64730F60"/>
    <w:rsid w:val="64C07CA8"/>
    <w:rsid w:val="65BC200F"/>
    <w:rsid w:val="68756445"/>
    <w:rsid w:val="692643FF"/>
    <w:rsid w:val="69F5281C"/>
    <w:rsid w:val="6B802F25"/>
    <w:rsid w:val="6DF41334"/>
    <w:rsid w:val="6F5221D0"/>
    <w:rsid w:val="70C508BB"/>
    <w:rsid w:val="71BF6F08"/>
    <w:rsid w:val="721343CD"/>
    <w:rsid w:val="72B7584D"/>
    <w:rsid w:val="77262794"/>
    <w:rsid w:val="781F1A34"/>
    <w:rsid w:val="7AEA0EE3"/>
    <w:rsid w:val="7BAB5B33"/>
    <w:rsid w:val="7BE96B42"/>
    <w:rsid w:val="7CC64167"/>
    <w:rsid w:val="7EA63E49"/>
    <w:rsid w:val="7FF754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1"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style>
  <w:style w:type="paragraph" w:customStyle="1" w:styleId="3">
    <w:name w:val="BodyTextIndent"/>
    <w:basedOn w:val="1"/>
    <w:next w:val="4"/>
    <w:qFormat/>
    <w:uiPriority w:val="0"/>
    <w:pPr>
      <w:spacing w:after="120"/>
      <w:ind w:left="420" w:leftChars="200"/>
      <w:textAlignment w:val="baseline"/>
    </w:pPr>
  </w:style>
  <w:style w:type="paragraph" w:customStyle="1" w:styleId="4">
    <w:name w:val="EnvelopeReturn"/>
    <w:basedOn w:val="1"/>
    <w:qFormat/>
    <w:uiPriority w:val="0"/>
    <w:pPr>
      <w:snapToGrid w:val="0"/>
      <w:textAlignment w:val="baseline"/>
    </w:pPr>
    <w:rPr>
      <w:rFonts w:ascii="Arial" w:hAnsi="Arial"/>
    </w:rPr>
  </w:style>
  <w:style w:type="paragraph" w:styleId="5">
    <w:name w:val="annotation text"/>
    <w:basedOn w:val="1"/>
    <w:semiHidden/>
    <w:unhideWhenUsed/>
    <w:qFormat/>
    <w:locked/>
    <w:uiPriority w:val="99"/>
    <w:pPr>
      <w:jc w:val="left"/>
    </w:pPr>
  </w:style>
  <w:style w:type="paragraph" w:styleId="6">
    <w:name w:val="Body Text"/>
    <w:basedOn w:val="1"/>
    <w:next w:val="1"/>
    <w:qFormat/>
    <w:locked/>
    <w:uiPriority w:val="1"/>
    <w:rPr>
      <w:rFonts w:ascii="宋体" w:hAnsi="宋体" w:cs="宋体"/>
      <w:sz w:val="28"/>
      <w:szCs w:val="28"/>
      <w:lang w:val="zh-CN" w:bidi="zh-CN"/>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6"/>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kern w:val="0"/>
      <w:sz w:val="18"/>
      <w:szCs w:val="18"/>
    </w:rPr>
  </w:style>
  <w:style w:type="paragraph" w:styleId="10">
    <w:name w:val="header"/>
    <w:basedOn w:val="1"/>
    <w:unhideWhenUsed/>
    <w:qFormat/>
    <w:locked/>
    <w:uiPriority w:val="99"/>
    <w:pPr>
      <w:pBdr>
        <w:bottom w:val="single" w:color="auto" w:sz="6" w:space="1"/>
      </w:pBdr>
      <w:tabs>
        <w:tab w:val="center" w:pos="4153"/>
        <w:tab w:val="right" w:pos="8306"/>
      </w:tabs>
      <w:snapToGrid w:val="0"/>
      <w:jc w:val="center"/>
    </w:pPr>
    <w:rPr>
      <w:kern w:val="0"/>
      <w:sz w:val="18"/>
      <w:szCs w:val="18"/>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page number"/>
    <w:basedOn w:val="13"/>
    <w:qFormat/>
    <w:locked/>
    <w:uiPriority w:val="0"/>
  </w:style>
  <w:style w:type="character" w:styleId="16">
    <w:name w:val="FollowedHyperlink"/>
    <w:basedOn w:val="13"/>
    <w:qFormat/>
    <w:uiPriority w:val="99"/>
    <w:rPr>
      <w:color w:val="auto"/>
      <w:u w:val="none"/>
    </w:rPr>
  </w:style>
  <w:style w:type="character" w:styleId="17">
    <w:name w:val="Emphasis"/>
    <w:basedOn w:val="13"/>
    <w:qFormat/>
    <w:uiPriority w:val="99"/>
  </w:style>
  <w:style w:type="character" w:styleId="18">
    <w:name w:val="HTML Definition"/>
    <w:basedOn w:val="13"/>
    <w:qFormat/>
    <w:uiPriority w:val="99"/>
  </w:style>
  <w:style w:type="character" w:styleId="19">
    <w:name w:val="HTML Variable"/>
    <w:basedOn w:val="13"/>
    <w:qFormat/>
    <w:uiPriority w:val="99"/>
  </w:style>
  <w:style w:type="character" w:styleId="20">
    <w:name w:val="Hyperlink"/>
    <w:basedOn w:val="13"/>
    <w:qFormat/>
    <w:uiPriority w:val="99"/>
    <w:rPr>
      <w:color w:val="auto"/>
      <w:u w:val="none"/>
    </w:rPr>
  </w:style>
  <w:style w:type="character" w:styleId="21">
    <w:name w:val="HTML Code"/>
    <w:basedOn w:val="13"/>
    <w:qFormat/>
    <w:uiPriority w:val="99"/>
    <w:rPr>
      <w:rFonts w:ascii="serif" w:hAnsi="serif" w:cs="serif"/>
      <w:sz w:val="21"/>
      <w:szCs w:val="21"/>
    </w:rPr>
  </w:style>
  <w:style w:type="character" w:styleId="22">
    <w:name w:val="HTML Cite"/>
    <w:basedOn w:val="13"/>
    <w:qFormat/>
    <w:uiPriority w:val="99"/>
  </w:style>
  <w:style w:type="character" w:styleId="23">
    <w:name w:val="HTML Keyboard"/>
    <w:basedOn w:val="13"/>
    <w:qFormat/>
    <w:uiPriority w:val="99"/>
    <w:rPr>
      <w:rFonts w:ascii="serif" w:hAnsi="serif" w:cs="serif"/>
      <w:sz w:val="21"/>
      <w:szCs w:val="21"/>
    </w:rPr>
  </w:style>
  <w:style w:type="character" w:styleId="24">
    <w:name w:val="HTML Sample"/>
    <w:basedOn w:val="13"/>
    <w:qFormat/>
    <w:uiPriority w:val="99"/>
    <w:rPr>
      <w:rFonts w:ascii="serif" w:hAnsi="serif" w:cs="serif"/>
      <w:sz w:val="21"/>
      <w:szCs w:val="21"/>
    </w:rPr>
  </w:style>
  <w:style w:type="paragraph" w:customStyle="1" w:styleId="25">
    <w:name w:val="Style1"/>
    <w:qFormat/>
    <w:uiPriority w:val="99"/>
    <w:pPr>
      <w:spacing w:after="120"/>
      <w:jc w:val="both"/>
    </w:pPr>
    <w:rPr>
      <w:rFonts w:ascii="Calibri" w:hAnsi="Calibri" w:eastAsia="宋体" w:cs="Calibri"/>
      <w:color w:val="000000"/>
      <w:spacing w:val="-3"/>
      <w:sz w:val="24"/>
      <w:szCs w:val="24"/>
      <w:lang w:val="en-US" w:eastAsia="zh-CN" w:bidi="ar-SA"/>
    </w:rPr>
  </w:style>
  <w:style w:type="character" w:customStyle="1" w:styleId="26">
    <w:name w:val="纯文本 Char"/>
    <w:basedOn w:val="13"/>
    <w:link w:val="8"/>
    <w:semiHidden/>
    <w:qFormat/>
    <w:locked/>
    <w:uiPriority w:val="99"/>
    <w:rPr>
      <w:rFonts w:ascii="宋体" w:hAnsi="Courier New" w:cs="宋体"/>
      <w:sz w:val="21"/>
      <w:szCs w:val="21"/>
    </w:rPr>
  </w:style>
  <w:style w:type="character" w:customStyle="1" w:styleId="27">
    <w:name w:val="fontborder"/>
    <w:basedOn w:val="13"/>
    <w:qFormat/>
    <w:uiPriority w:val="99"/>
    <w:rPr>
      <w:bdr w:val="single" w:color="000000" w:sz="6" w:space="0"/>
    </w:rPr>
  </w:style>
  <w:style w:type="character" w:customStyle="1" w:styleId="28">
    <w:name w:val="fontstrikethrough"/>
    <w:basedOn w:val="13"/>
    <w:qFormat/>
    <w:uiPriority w:val="99"/>
    <w:rPr>
      <w:strike/>
    </w:rPr>
  </w:style>
  <w:style w:type="paragraph" w:customStyle="1" w:styleId="2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0">
    <w:name w:val="章标题"/>
    <w:next w:val="31"/>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5</Pages>
  <Words>2035</Words>
  <Characters>2270</Characters>
  <Lines>17</Lines>
  <Paragraphs>4</Paragraphs>
  <TotalTime>8</TotalTime>
  <ScaleCrop>false</ScaleCrop>
  <LinksUpToDate>false</LinksUpToDate>
  <CharactersWithSpaces>2317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陈旻斐</cp:lastModifiedBy>
  <dcterms:modified xsi:type="dcterms:W3CDTF">2025-10-31T01:10:10Z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7BB3F173217D4841A5D0235F7CC56A0E</vt:lpwstr>
  </property>
</Properties>
</file>