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olor w:val="000000"/>
          <w:spacing w:val="20"/>
          <w:w w:val="105"/>
          <w:sz w:val="48"/>
          <w:szCs w:val="48"/>
        </w:rPr>
      </w:pPr>
      <w:r>
        <w:rPr>
          <w:rFonts w:hint="eastAsia" w:ascii="黑体" w:hAnsi="宋体" w:eastAsia="黑体"/>
          <w:spacing w:val="20"/>
          <w:w w:val="105"/>
          <w:sz w:val="48"/>
          <w:szCs w:val="48"/>
          <w:lang w:val="en-US" w:eastAsia="zh-CN"/>
        </w:rPr>
        <w:t xml:space="preserve"> 莆田市</w:t>
      </w:r>
      <w:r>
        <w:rPr>
          <w:rFonts w:hint="eastAsia" w:ascii="黑体" w:hAnsi="宋体" w:eastAsia="黑体"/>
          <w:spacing w:val="20"/>
          <w:w w:val="105"/>
          <w:sz w:val="48"/>
          <w:szCs w:val="48"/>
        </w:rPr>
        <w:t>产品质量监督抽查实施细则</w:t>
      </w:r>
    </w:p>
    <w:p>
      <w:pPr>
        <w:wordWrap w:val="0"/>
        <w:spacing w:before="240"/>
        <w:ind w:right="210"/>
        <w:jc w:val="right"/>
        <w:rPr>
          <w:rFonts w:hint="default" w:ascii="黑体" w:hAnsi="宋体" w:eastAsia="黑体"/>
          <w:color w:val="auto"/>
          <w:sz w:val="24"/>
          <w:szCs w:val="24"/>
          <w:lang w:val="en-US" w:eastAsia="zh-CN"/>
        </w:rPr>
      </w:pPr>
      <w:r>
        <w:rPr>
          <w:rFonts w:hint="eastAsia" w:ascii="黑体" w:hAnsi="宋体" w:eastAsia="黑体"/>
          <w:color w:val="auto"/>
          <w:sz w:val="28"/>
          <w:szCs w:val="28"/>
          <w:lang w:val="en-US" w:eastAsia="zh-CN"/>
        </w:rPr>
        <w:t>PTSJDC-1018.01.</w:t>
      </w:r>
      <w:r>
        <w:rPr>
          <w:rFonts w:hint="eastAsia" w:ascii="黑体" w:hAnsi="宋体" w:eastAsia="黑体"/>
          <w:color w:val="auto"/>
          <w:sz w:val="28"/>
          <w:szCs w:val="28"/>
        </w:rPr>
        <w:t>20</w:t>
      </w:r>
      <w:r>
        <w:rPr>
          <w:rFonts w:hint="eastAsia" w:ascii="黑体" w:hAnsi="宋体" w:eastAsia="黑体"/>
          <w:color w:val="auto"/>
          <w:sz w:val="28"/>
          <w:szCs w:val="28"/>
          <w:lang w:val="en-US" w:eastAsia="zh-CN"/>
        </w:rPr>
        <w:t>23</w:t>
      </w:r>
    </w:p>
    <w:p>
      <w:pPr>
        <w:rPr>
          <w:rFonts w:ascii="宋体" w:hAnsi="宋体"/>
          <w:szCs w:val="21"/>
          <w:u w:val="single"/>
        </w:rPr>
      </w:pPr>
      <w:r>
        <w:rPr>
          <w:rFonts w:ascii="宋体" w:hAnsi="宋体"/>
          <w:b/>
          <w:szCs w:val="21"/>
        </w:rPr>
        <w:pict>
          <v:line id="_x0000_s1031" o:spid="_x0000_s1031" o:spt="20" style="position:absolute;left:0pt;margin-left:0pt;margin-top:7.3pt;height:0pt;width:468pt;z-index:251662336;mso-width-relative:page;mso-height-relative:page;" stroked="t" coordsize="21600,21600">
            <v:path arrowok="t"/>
            <v:fill focussize="0,0"/>
            <v:stroke weight="1pt" color="#FFFFFF"/>
            <v:imagedata o:title=""/>
            <o:lock v:ext="edit"/>
          </v:line>
        </w:pict>
      </w:r>
      <w:r>
        <w:rPr>
          <w:rFonts w:hint="eastAsia" w:ascii="宋体" w:hAnsi="宋体"/>
          <w:b/>
          <w:szCs w:val="21"/>
        </w:rPr>
        <w:t xml:space="preserve"> </w:t>
      </w:r>
      <w:r>
        <w:rPr>
          <w:rFonts w:hint="eastAsia" w:ascii="宋体" w:hAnsi="宋体"/>
          <w:szCs w:val="21"/>
          <w:u w:val="single"/>
        </w:rPr>
        <w:t xml:space="preserve">                                                                                           </w:t>
      </w:r>
    </w:p>
    <w:p>
      <w:pPr>
        <w:spacing w:before="240"/>
        <w:ind w:right="210"/>
        <w:jc w:val="right"/>
        <w:rPr>
          <w:rFonts w:ascii="黑体" w:hAnsi="宋体" w:eastAsia="黑体"/>
          <w:color w:val="000000"/>
          <w:sz w:val="24"/>
          <w:szCs w:val="24"/>
        </w:rPr>
      </w:pPr>
    </w:p>
    <w:p>
      <w:pPr>
        <w:rPr>
          <w:rFonts w:ascii="宋体" w:hAnsi="宋体"/>
          <w:color w:val="000000"/>
          <w:szCs w:val="21"/>
        </w:rPr>
      </w:pPr>
      <w:r>
        <w:rPr>
          <w:rFonts w:ascii="宋体" w:hAnsi="宋体"/>
          <w:b/>
          <w:color w:val="000000"/>
          <w:sz w:val="24"/>
          <w:szCs w:val="24"/>
        </w:rPr>
        <w:pict>
          <v:line id="_x0000_s1030" o:spid="_x0000_s1030" o:spt="20" style="position:absolute;left:0pt;margin-left:45pt;margin-top:3.6pt;height:0pt;width:423pt;z-index:251660288;mso-width-relative:page;mso-height-relative:page;" stroked="t" coordsize="21600,21600">
            <v:path arrowok="t"/>
            <v:fill focussize="0,0"/>
            <v:stroke weight="1pt" color="#FFFFFF"/>
            <v:imagedata o:title=""/>
            <o:lock v:ext="edit"/>
          </v:line>
        </w:pict>
      </w:r>
      <w:r>
        <w:rPr>
          <w:rFonts w:hint="eastAsia" w:ascii="宋体" w:hAnsi="宋体"/>
          <w:b/>
          <w:color w:val="000000"/>
          <w:szCs w:val="21"/>
        </w:rPr>
        <w:t xml:space="preserve"> </w:t>
      </w:r>
    </w:p>
    <w:p>
      <w:pPr>
        <w:ind w:firstLine="480" w:firstLineChars="200"/>
        <w:rPr>
          <w:rFonts w:ascii="宋体" w:hAnsi="宋体"/>
          <w:i/>
          <w:color w:val="000000"/>
          <w:sz w:val="24"/>
        </w:rPr>
      </w:pPr>
    </w:p>
    <w:p>
      <w:pPr>
        <w:jc w:val="center"/>
        <w:rPr>
          <w:rFonts w:ascii="宋体" w:hAnsi="宋体"/>
          <w:i/>
          <w:color w:val="000000"/>
          <w:szCs w:val="21"/>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rFonts w:hint="eastAsia" w:ascii="黑体" w:hAnsi="宋体" w:eastAsia="黑体"/>
          <w:color w:val="000000"/>
          <w:sz w:val="48"/>
          <w:szCs w:val="48"/>
          <w:lang w:eastAsia="zh-CN"/>
        </w:rPr>
      </w:pPr>
      <w:r>
        <w:rPr>
          <w:rFonts w:hint="eastAsia" w:ascii="黑体" w:hAnsi="宋体" w:eastAsia="黑体"/>
          <w:color w:val="000000"/>
          <w:sz w:val="48"/>
          <w:szCs w:val="48"/>
          <w:lang w:eastAsia="zh-CN"/>
        </w:rPr>
        <w:t>课业簿册</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rPr>
          <w:u w:val="single"/>
        </w:rPr>
      </w:pPr>
      <w:r>
        <w:rPr>
          <w:u w:val="single"/>
        </w:rPr>
        <w:pict>
          <v:line id="_x0000_s1032" o:spid="_x0000_s1032" o:spt="20" style="position:absolute;left:0pt;margin-left:0pt;margin-top:7.3pt;height:0pt;width:468pt;z-index:251663360;mso-width-relative:page;mso-height-relative:page;" stroked="t" coordsize="21600,21600">
            <v:path arrowok="t"/>
            <v:fill focussize="0,0"/>
            <v:stroke weight="1pt" color="#FFFFFF"/>
            <v:imagedata o:title=""/>
            <o:lock v:ext="edit"/>
          </v:line>
        </w:pict>
      </w:r>
      <w:r>
        <w:rPr>
          <w:rFonts w:hint="eastAsia"/>
          <w:u w:val="single"/>
        </w:rPr>
        <w:t xml:space="preserve">                                                                                               </w:t>
      </w:r>
    </w:p>
    <w:p>
      <w:pPr>
        <w:jc w:val="center"/>
        <w:rPr>
          <w:rFonts w:ascii="黑体" w:hAnsi="宋体" w:eastAsia="黑体"/>
          <w:color w:val="000000"/>
          <w:w w:val="148"/>
          <w:sz w:val="36"/>
          <w:szCs w:val="36"/>
        </w:rPr>
      </w:pPr>
      <w:r>
        <w:rPr>
          <w:rFonts w:hint="eastAsia" w:ascii="黑体" w:hAnsi="宋体" w:eastAsia="黑体"/>
          <w:w w:val="148"/>
          <w:sz w:val="36"/>
          <w:szCs w:val="36"/>
          <w:lang w:eastAsia="zh-CN"/>
        </w:rPr>
        <w:t>莆田市</w:t>
      </w:r>
      <w:r>
        <w:rPr>
          <w:rFonts w:hint="eastAsia" w:ascii="黑体" w:hAnsi="宋体" w:eastAsia="黑体"/>
          <w:w w:val="148"/>
          <w:sz w:val="36"/>
          <w:szCs w:val="36"/>
        </w:rPr>
        <w:t>市场监督管理局</w:t>
      </w:r>
    </w:p>
    <w:p>
      <w:pPr>
        <w:pStyle w:val="2"/>
        <w:jc w:val="center"/>
        <w:rPr>
          <w:rFonts w:hint="eastAsia" w:hAnsi="宋体"/>
          <w:b/>
          <w:color w:val="000000"/>
          <w:spacing w:val="-14"/>
          <w:sz w:val="36"/>
          <w:lang w:eastAsia="zh-CN"/>
        </w:rPr>
        <w:sectPr>
          <w:headerReference r:id="rId3" w:type="default"/>
          <w:footerReference r:id="rId4" w:type="default"/>
          <w:pgSz w:w="11906" w:h="16838"/>
          <w:pgMar w:top="1440" w:right="1083" w:bottom="1440" w:left="1083" w:header="851" w:footer="992" w:gutter="0"/>
          <w:cols w:space="425" w:num="1"/>
          <w:docGrid w:type="lines" w:linePitch="312" w:charSpace="0"/>
        </w:sectPr>
      </w:pPr>
    </w:p>
    <w:p>
      <w:pPr>
        <w:pStyle w:val="2"/>
        <w:jc w:val="center"/>
        <w:rPr>
          <w:rFonts w:hAnsi="宋体"/>
          <w:b/>
          <w:color w:val="000000"/>
          <w:sz w:val="36"/>
        </w:rPr>
      </w:pPr>
      <w:r>
        <w:rPr>
          <w:rFonts w:hint="eastAsia" w:hAnsi="宋体"/>
          <w:b/>
          <w:color w:val="000000"/>
          <w:spacing w:val="-14"/>
          <w:sz w:val="36"/>
          <w:lang w:eastAsia="zh-CN"/>
        </w:rPr>
        <w:t>课业簿册</w:t>
      </w:r>
      <w:r>
        <w:rPr>
          <w:rFonts w:hint="eastAsia" w:hAnsi="宋体"/>
          <w:b/>
          <w:color w:val="000000"/>
          <w:spacing w:val="-14"/>
          <w:sz w:val="36"/>
        </w:rPr>
        <w:t>产品质量</w:t>
      </w:r>
      <w:r>
        <w:rPr>
          <w:rFonts w:hint="eastAsia" w:hAnsi="宋体"/>
          <w:b/>
          <w:color w:val="000000"/>
          <w:sz w:val="36"/>
        </w:rPr>
        <w:t>监督抽查实施细则</w:t>
      </w:r>
    </w:p>
    <w:p>
      <w:pPr>
        <w:pStyle w:val="2"/>
        <w:wordWrap w:val="0"/>
        <w:adjustRightInd w:val="0"/>
        <w:snapToGrid w:val="0"/>
        <w:spacing w:line="300" w:lineRule="auto"/>
        <w:jc w:val="right"/>
        <w:rPr>
          <w:rFonts w:hint="default" w:ascii="黑体" w:hAnsi="宋体" w:eastAsia="黑体"/>
          <w:color w:val="auto"/>
          <w:sz w:val="24"/>
          <w:szCs w:val="24"/>
          <w:u w:val="single"/>
          <w:lang w:val="en-US" w:eastAsia="zh-CN"/>
        </w:rPr>
      </w:pPr>
      <w:r>
        <w:rPr>
          <w:rFonts w:hint="default" w:ascii="黑体" w:hAnsi="宋体" w:eastAsia="黑体"/>
          <w:color w:val="auto"/>
          <w:sz w:val="24"/>
          <w:szCs w:val="24"/>
          <w:lang w:val="en-US"/>
        </w:rPr>
        <w:t>PTSJDC-101</w:t>
      </w:r>
      <w:r>
        <w:rPr>
          <w:rFonts w:hint="eastAsia" w:ascii="黑体" w:hAnsi="宋体" w:eastAsia="黑体"/>
          <w:color w:val="auto"/>
          <w:sz w:val="24"/>
          <w:szCs w:val="24"/>
          <w:lang w:val="en-US" w:eastAsia="zh-CN"/>
        </w:rPr>
        <w:t>8</w:t>
      </w:r>
      <w:r>
        <w:rPr>
          <w:rFonts w:hint="default" w:ascii="黑体" w:hAnsi="宋体" w:eastAsia="黑体"/>
          <w:color w:val="auto"/>
          <w:sz w:val="24"/>
          <w:szCs w:val="24"/>
          <w:lang w:val="en-US"/>
        </w:rPr>
        <w:t>.01</w:t>
      </w:r>
      <w:r>
        <w:rPr>
          <w:rFonts w:hint="default" w:ascii="黑体" w:hAnsi="宋体" w:eastAsia="黑体"/>
          <w:color w:val="auto"/>
          <w:sz w:val="24"/>
          <w:szCs w:val="24"/>
          <w:lang w:val="en-US"/>
        </w:rPr>
        <w:pict>
          <v:shape id="_x0000_s1026" o:spid="_x0000_s1026" o:spt="32" type="#_x0000_t32" style="position:absolute;left:0pt;margin-left:13.9pt;margin-top:15.3pt;height:3.3pt;width:462.8pt;z-index:251659264;mso-width-relative:page;mso-height-relative:page;" filled="f" stroked="t" coordsize="21600,21600">
            <v:path arrowok="t"/>
            <v:fill on="f" focussize="0,0"/>
            <v:stroke color="#000000"/>
            <v:imagedata o:title=""/>
            <o:lock v:ext="edit" aspectratio="f"/>
          </v:shape>
        </w:pict>
      </w:r>
      <w:r>
        <w:rPr>
          <w:rFonts w:hint="eastAsia" w:ascii="黑体" w:hAnsi="宋体" w:eastAsia="黑体"/>
          <w:color w:val="auto"/>
          <w:sz w:val="24"/>
          <w:szCs w:val="24"/>
          <w:lang w:val="en-US" w:eastAsia="zh-CN"/>
        </w:rPr>
        <w:t>.</w:t>
      </w:r>
      <w:r>
        <w:rPr>
          <w:rFonts w:hint="eastAsia" w:ascii="黑体" w:hAnsi="宋体" w:eastAsia="黑体"/>
          <w:color w:val="auto"/>
          <w:sz w:val="24"/>
          <w:szCs w:val="24"/>
        </w:rPr>
        <w:t>20</w:t>
      </w:r>
      <w:r>
        <w:rPr>
          <w:rFonts w:hint="eastAsia" w:ascii="黑体" w:hAnsi="宋体" w:eastAsia="黑体"/>
          <w:color w:val="auto"/>
          <w:sz w:val="24"/>
          <w:szCs w:val="24"/>
          <w:lang w:val="en-US" w:eastAsia="zh-CN"/>
        </w:rPr>
        <w:t>23</w:t>
      </w:r>
    </w:p>
    <w:p>
      <w:pPr>
        <w:snapToGrid w:val="0"/>
        <w:spacing w:line="360" w:lineRule="auto"/>
        <w:rPr>
          <w:rFonts w:ascii="黑体" w:hAnsi="黑体" w:eastAsia="黑体"/>
          <w:b/>
          <w:color w:val="000000"/>
          <w:szCs w:val="21"/>
        </w:rPr>
      </w:pPr>
      <w:r>
        <w:rPr>
          <w:rFonts w:hint="eastAsia" w:ascii="黑体" w:hAnsi="黑体" w:eastAsia="黑体"/>
          <w:b/>
          <w:color w:val="000000"/>
          <w:szCs w:val="21"/>
        </w:rPr>
        <w:t>1.适用范围</w:t>
      </w:r>
    </w:p>
    <w:p>
      <w:pPr>
        <w:snapToGrid w:val="0"/>
        <w:spacing w:line="360" w:lineRule="auto"/>
        <w:ind w:firstLine="403" w:firstLineChars="192"/>
        <w:rPr>
          <w:rFonts w:ascii="宋体" w:hAnsi="宋体"/>
          <w:color w:val="000000" w:themeColor="text1"/>
          <w:szCs w:val="21"/>
        </w:rPr>
      </w:pPr>
      <w:r>
        <w:rPr>
          <w:rFonts w:hint="eastAsia" w:ascii="宋体" w:hAnsi="宋体"/>
          <w:color w:val="000000" w:themeColor="text1"/>
          <w:szCs w:val="21"/>
        </w:rPr>
        <w:t>本实施细则适用于</w:t>
      </w:r>
      <w:r>
        <w:rPr>
          <w:rFonts w:hint="eastAsia" w:ascii="宋体" w:hAnsi="宋体"/>
          <w:color w:val="000000" w:themeColor="text1"/>
          <w:szCs w:val="21"/>
          <w:lang w:eastAsia="zh-CN"/>
        </w:rPr>
        <w:t>课业</w:t>
      </w:r>
      <w:r>
        <w:rPr>
          <w:rFonts w:hint="eastAsia" w:ascii="宋体" w:hAnsi="宋体"/>
          <w:color w:val="000000" w:themeColor="text1"/>
          <w:szCs w:val="21"/>
        </w:rPr>
        <w:t>簿册等产品</w:t>
      </w:r>
      <w:r>
        <w:rPr>
          <w:rFonts w:hint="eastAsia" w:ascii="宋体" w:hAnsi="宋体"/>
          <w:color w:val="000000" w:themeColor="text1"/>
          <w:szCs w:val="21"/>
          <w:lang w:eastAsia="zh-CN"/>
        </w:rPr>
        <w:t>市</w:t>
      </w:r>
      <w:r>
        <w:rPr>
          <w:rFonts w:hint="eastAsia" w:ascii="宋体" w:hAnsi="宋体"/>
          <w:color w:val="000000" w:themeColor="text1"/>
          <w:szCs w:val="21"/>
        </w:rPr>
        <w:t>级监督抽查。监督抽查产品范围包括各种规格的</w:t>
      </w:r>
      <w:r>
        <w:rPr>
          <w:rFonts w:hint="eastAsia" w:ascii="宋体" w:hAnsi="宋体"/>
          <w:color w:val="000000" w:themeColor="text1"/>
          <w:szCs w:val="21"/>
          <w:lang w:eastAsia="zh-CN"/>
        </w:rPr>
        <w:t>课业簿册，</w:t>
      </w:r>
      <w:r>
        <w:rPr>
          <w:rFonts w:hint="eastAsia" w:ascii="宋体" w:hAnsi="宋体"/>
          <w:color w:val="000000" w:themeColor="text1"/>
          <w:szCs w:val="21"/>
        </w:rPr>
        <w:t>普通中、小学生使用的各种</w:t>
      </w:r>
      <w:r>
        <w:rPr>
          <w:rFonts w:hint="eastAsia" w:ascii="宋体" w:hAnsi="宋体"/>
          <w:color w:val="000000" w:themeColor="text1"/>
          <w:szCs w:val="21"/>
          <w:lang w:eastAsia="zh-CN"/>
        </w:rPr>
        <w:t>课业簿册</w:t>
      </w:r>
      <w:r>
        <w:rPr>
          <w:rFonts w:hint="eastAsia" w:ascii="宋体" w:hAnsi="宋体"/>
          <w:color w:val="000000" w:themeColor="text1"/>
          <w:szCs w:val="21"/>
        </w:rPr>
        <w:t>（含作业纸）。本实施细则内容包括产品分类、术语和定义、企业规模划分、检验依据、抽样要求、检验要求、判定原则、异议处理原则。</w:t>
      </w:r>
    </w:p>
    <w:p>
      <w:pPr>
        <w:snapToGrid w:val="0"/>
        <w:spacing w:line="360" w:lineRule="auto"/>
        <w:ind w:firstLine="360" w:firstLineChars="200"/>
        <w:rPr>
          <w:rFonts w:ascii="宋体" w:hAnsi="宋体"/>
          <w:color w:val="000000"/>
          <w:szCs w:val="21"/>
        </w:rPr>
      </w:pPr>
      <w:r>
        <w:rPr>
          <w:rFonts w:hint="eastAsia" w:ascii="宋体" w:hAnsi="宋体"/>
          <w:color w:val="000000"/>
          <w:sz w:val="18"/>
          <w:szCs w:val="18"/>
        </w:rPr>
        <w:t>注：针对特殊情况的专项抽查可参照执行。</w:t>
      </w:r>
    </w:p>
    <w:p>
      <w:pPr>
        <w:snapToGrid w:val="0"/>
        <w:spacing w:line="360" w:lineRule="auto"/>
        <w:rPr>
          <w:rFonts w:ascii="黑体" w:hAnsi="黑体" w:eastAsia="黑体"/>
          <w:b/>
          <w:color w:val="000000"/>
          <w:szCs w:val="21"/>
        </w:rPr>
      </w:pPr>
      <w:r>
        <w:rPr>
          <w:rFonts w:hint="eastAsia" w:ascii="黑体" w:hAnsi="黑体" w:eastAsia="黑体"/>
          <w:b/>
          <w:color w:val="000000"/>
          <w:szCs w:val="21"/>
        </w:rPr>
        <w:t>2.产品分类</w:t>
      </w:r>
    </w:p>
    <w:p>
      <w:pPr>
        <w:snapToGrid w:val="0"/>
        <w:spacing w:line="360" w:lineRule="auto"/>
        <w:ind w:firstLine="411" w:firstLineChars="196"/>
        <w:rPr>
          <w:rFonts w:ascii="宋体" w:hAnsi="宋体"/>
          <w:color w:val="auto"/>
          <w:szCs w:val="21"/>
        </w:rPr>
      </w:pPr>
      <w:r>
        <w:rPr>
          <w:rFonts w:hint="eastAsia" w:ascii="宋体" w:hAnsi="宋体"/>
          <w:color w:val="auto"/>
          <w:szCs w:val="21"/>
          <w:lang w:eastAsia="zh-CN"/>
        </w:rPr>
        <w:t>课业簿册</w:t>
      </w:r>
      <w:r>
        <w:rPr>
          <w:rFonts w:hint="eastAsia" w:ascii="宋体" w:hAnsi="宋体"/>
          <w:color w:val="auto"/>
          <w:szCs w:val="21"/>
        </w:rPr>
        <w:t>按</w:t>
      </w:r>
      <w:r>
        <w:rPr>
          <w:rFonts w:hint="eastAsia" w:ascii="宋体" w:hAnsi="宋体"/>
          <w:color w:val="auto"/>
          <w:szCs w:val="21"/>
          <w:lang w:eastAsia="zh-CN"/>
        </w:rPr>
        <w:t>使用对象分为中学和小学两</w:t>
      </w:r>
      <w:r>
        <w:rPr>
          <w:rFonts w:hint="eastAsia" w:ascii="宋体" w:hAnsi="宋体"/>
          <w:color w:val="auto"/>
          <w:szCs w:val="21"/>
        </w:rPr>
        <w:t>类。</w:t>
      </w:r>
    </w:p>
    <w:p>
      <w:pPr>
        <w:snapToGrid w:val="0"/>
        <w:spacing w:line="360" w:lineRule="auto"/>
        <w:rPr>
          <w:rFonts w:ascii="黑体" w:hAnsi="黑体" w:eastAsia="黑体"/>
          <w:b/>
          <w:color w:val="000000"/>
          <w:szCs w:val="21"/>
        </w:rPr>
      </w:pPr>
      <w:r>
        <w:rPr>
          <w:rFonts w:hint="eastAsia" w:ascii="黑体" w:hAnsi="黑体" w:eastAsia="黑体"/>
          <w:b/>
          <w:color w:val="000000"/>
          <w:szCs w:val="21"/>
        </w:rPr>
        <w:t>3.术语与定义</w:t>
      </w:r>
    </w:p>
    <w:p>
      <w:pPr>
        <w:snapToGrid w:val="0"/>
        <w:spacing w:line="360" w:lineRule="auto"/>
        <w:ind w:firstLine="420" w:firstLineChars="200"/>
        <w:rPr>
          <w:rFonts w:ascii="宋体" w:hAnsi="宋体"/>
          <w:color w:val="000000"/>
          <w:szCs w:val="21"/>
        </w:rPr>
      </w:pPr>
      <w:r>
        <w:rPr>
          <w:rFonts w:hint="eastAsia" w:ascii="宋体" w:hAnsi="宋体"/>
          <w:color w:val="000000"/>
          <w:szCs w:val="21"/>
        </w:rPr>
        <w:t>本细则中未列出的术语和定义同相关引用标准。</w:t>
      </w:r>
    </w:p>
    <w:p>
      <w:pPr>
        <w:snapToGrid w:val="0"/>
        <w:spacing w:line="360" w:lineRule="auto"/>
        <w:rPr>
          <w:rFonts w:ascii="黑体" w:hAnsi="黑体" w:eastAsia="黑体"/>
          <w:b/>
          <w:color w:val="000000"/>
          <w:szCs w:val="21"/>
        </w:rPr>
      </w:pPr>
      <w:r>
        <w:rPr>
          <w:rFonts w:hint="eastAsia" w:ascii="黑体" w:hAnsi="黑体" w:eastAsia="黑体"/>
          <w:b/>
          <w:color w:val="000000"/>
          <w:szCs w:val="21"/>
        </w:rPr>
        <w:t>4.企业规模划分</w:t>
      </w:r>
    </w:p>
    <w:p>
      <w:pPr>
        <w:pStyle w:val="2"/>
        <w:adjustRightInd w:val="0"/>
        <w:snapToGrid w:val="0"/>
        <w:spacing w:line="360" w:lineRule="auto"/>
        <w:ind w:firstLine="420" w:firstLineChars="200"/>
        <w:rPr>
          <w:rFonts w:hAnsi="宋体"/>
          <w:color w:val="000000"/>
          <w:szCs w:val="21"/>
        </w:rPr>
      </w:pPr>
      <w:r>
        <w:rPr>
          <w:rFonts w:hint="eastAsia" w:hAnsi="宋体"/>
          <w:color w:val="000000"/>
          <w:szCs w:val="21"/>
        </w:rPr>
        <w:t>根据</w:t>
      </w:r>
      <w:r>
        <w:rPr>
          <w:rFonts w:hint="eastAsia" w:hAnsi="宋体"/>
          <w:color w:val="000000"/>
          <w:szCs w:val="21"/>
          <w:lang w:eastAsia="zh-CN"/>
        </w:rPr>
        <w:t>课业簿册</w:t>
      </w:r>
      <w:r>
        <w:rPr>
          <w:rFonts w:hint="eastAsia" w:hAnsi="宋体"/>
          <w:color w:val="000000"/>
          <w:szCs w:val="21"/>
        </w:rPr>
        <w:t>产品行业的实际情况，生产企业规模以运输包装用</w:t>
      </w:r>
      <w:r>
        <w:rPr>
          <w:rFonts w:hint="eastAsia" w:hAnsi="宋体"/>
          <w:color w:val="000000"/>
          <w:szCs w:val="21"/>
          <w:lang w:eastAsia="zh-CN"/>
        </w:rPr>
        <w:t>课业簿册</w:t>
      </w:r>
      <w:r>
        <w:rPr>
          <w:rFonts w:hint="eastAsia" w:hAnsi="宋体"/>
          <w:color w:val="000000"/>
          <w:szCs w:val="21"/>
        </w:rPr>
        <w:t>产品年销售额为标准划分为大、中、小型企业。见表</w:t>
      </w:r>
      <w:r>
        <w:rPr>
          <w:rFonts w:hint="eastAsia" w:hAnsi="宋体"/>
          <w:color w:val="000000"/>
          <w:szCs w:val="21"/>
          <w:lang w:val="en-US" w:eastAsia="zh-CN"/>
        </w:rPr>
        <w:t>1</w:t>
      </w:r>
      <w:r>
        <w:rPr>
          <w:rFonts w:hint="eastAsia" w:hAnsi="宋体"/>
          <w:color w:val="000000"/>
          <w:szCs w:val="21"/>
        </w:rPr>
        <w:t>。</w:t>
      </w:r>
    </w:p>
    <w:p>
      <w:pPr>
        <w:pStyle w:val="2"/>
        <w:adjustRightInd w:val="0"/>
        <w:snapToGrid w:val="0"/>
        <w:spacing w:line="360" w:lineRule="auto"/>
        <w:ind w:firstLine="420" w:firstLineChars="200"/>
        <w:jc w:val="center"/>
        <w:rPr>
          <w:rFonts w:hint="eastAsia" w:ascii="宋体" w:hAnsi="宋体" w:eastAsia="宋体" w:cs="Times New Roman"/>
          <w:color w:val="C00000"/>
          <w:kern w:val="2"/>
          <w:sz w:val="21"/>
          <w:szCs w:val="21"/>
          <w:lang w:val="en-US" w:eastAsia="zh-CN" w:bidi="ar-SA"/>
        </w:rPr>
      </w:pPr>
      <w:r>
        <w:rPr>
          <w:rFonts w:hint="eastAsia" w:ascii="宋体" w:hAnsi="宋体" w:eastAsia="宋体" w:cs="Times New Roman"/>
          <w:color w:val="000000" w:themeColor="text1"/>
          <w:kern w:val="2"/>
          <w:sz w:val="21"/>
          <w:szCs w:val="21"/>
          <w:lang w:val="en-US" w:eastAsia="zh-CN" w:bidi="ar-SA"/>
        </w:rPr>
        <w:t xml:space="preserve">表1  </w:t>
      </w:r>
      <w:r>
        <w:rPr>
          <w:rFonts w:hint="eastAsia" w:ascii="宋体" w:hAnsi="宋体" w:eastAsia="宋体" w:cs="Times New Roman"/>
          <w:color w:val="C00000"/>
          <w:kern w:val="2"/>
          <w:sz w:val="21"/>
          <w:szCs w:val="21"/>
          <w:lang w:val="en-US" w:eastAsia="zh-CN" w:bidi="ar-SA"/>
        </w:rPr>
        <w:t>企业规模划分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804"/>
        <w:gridCol w:w="2156"/>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627" w:type="dxa"/>
            <w:vAlign w:val="center"/>
          </w:tcPr>
          <w:p>
            <w:pPr>
              <w:pStyle w:val="2"/>
              <w:adjustRightInd w:val="0"/>
              <w:snapToGrid w:val="0"/>
              <w:spacing w:line="360" w:lineRule="auto"/>
              <w:jc w:val="center"/>
              <w:rPr>
                <w:rFonts w:hAnsi="宋体"/>
                <w:color w:val="000000"/>
                <w:szCs w:val="21"/>
              </w:rPr>
            </w:pPr>
            <w:r>
              <w:rPr>
                <w:rFonts w:hint="eastAsia" w:hAnsi="宋体"/>
                <w:color w:val="000000"/>
                <w:szCs w:val="21"/>
              </w:rPr>
              <w:t>企业规模</w:t>
            </w:r>
          </w:p>
        </w:tc>
        <w:tc>
          <w:tcPr>
            <w:tcW w:w="1804" w:type="dxa"/>
            <w:vAlign w:val="center"/>
          </w:tcPr>
          <w:p>
            <w:pPr>
              <w:pStyle w:val="2"/>
              <w:adjustRightInd w:val="0"/>
              <w:snapToGrid w:val="0"/>
              <w:spacing w:line="360" w:lineRule="auto"/>
              <w:jc w:val="center"/>
              <w:rPr>
                <w:rFonts w:hAnsi="宋体"/>
                <w:color w:val="000000"/>
                <w:szCs w:val="21"/>
              </w:rPr>
            </w:pPr>
            <w:r>
              <w:rPr>
                <w:rFonts w:hint="eastAsia" w:hAnsi="宋体"/>
                <w:color w:val="000000"/>
                <w:szCs w:val="21"/>
              </w:rPr>
              <w:t>大型企业</w:t>
            </w:r>
          </w:p>
        </w:tc>
        <w:tc>
          <w:tcPr>
            <w:tcW w:w="2156" w:type="dxa"/>
            <w:vAlign w:val="center"/>
          </w:tcPr>
          <w:p>
            <w:pPr>
              <w:pStyle w:val="2"/>
              <w:adjustRightInd w:val="0"/>
              <w:snapToGrid w:val="0"/>
              <w:spacing w:line="360" w:lineRule="auto"/>
              <w:jc w:val="center"/>
              <w:rPr>
                <w:rFonts w:hAnsi="宋体"/>
                <w:color w:val="000000"/>
                <w:szCs w:val="21"/>
              </w:rPr>
            </w:pPr>
            <w:r>
              <w:rPr>
                <w:rFonts w:hint="eastAsia" w:hAnsi="宋体"/>
                <w:color w:val="000000"/>
                <w:szCs w:val="21"/>
              </w:rPr>
              <w:t>中型企业</w:t>
            </w:r>
          </w:p>
        </w:tc>
        <w:tc>
          <w:tcPr>
            <w:tcW w:w="1696" w:type="dxa"/>
            <w:vAlign w:val="center"/>
          </w:tcPr>
          <w:p>
            <w:pPr>
              <w:pStyle w:val="2"/>
              <w:adjustRightInd w:val="0"/>
              <w:snapToGrid w:val="0"/>
              <w:spacing w:line="360" w:lineRule="auto"/>
              <w:jc w:val="center"/>
              <w:rPr>
                <w:rFonts w:hAnsi="宋体"/>
                <w:color w:val="000000"/>
                <w:szCs w:val="21"/>
              </w:rPr>
            </w:pPr>
            <w:r>
              <w:rPr>
                <w:rFonts w:hint="eastAsia" w:hAnsi="宋体"/>
                <w:color w:val="000000"/>
                <w:szCs w:val="21"/>
              </w:rPr>
              <w:t>小型企业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7" w:type="dxa"/>
            <w:vAlign w:val="center"/>
          </w:tcPr>
          <w:p>
            <w:pPr>
              <w:pStyle w:val="2"/>
              <w:adjustRightInd w:val="0"/>
              <w:snapToGrid w:val="0"/>
              <w:spacing w:line="360" w:lineRule="auto"/>
              <w:rPr>
                <w:rFonts w:hAnsi="宋体"/>
                <w:color w:val="000000"/>
                <w:szCs w:val="21"/>
              </w:rPr>
            </w:pPr>
            <w:r>
              <w:rPr>
                <w:rFonts w:hint="eastAsia" w:hAnsi="宋体"/>
                <w:color w:val="000000"/>
                <w:szCs w:val="21"/>
              </w:rPr>
              <w:t>销售额/万元</w:t>
            </w:r>
          </w:p>
        </w:tc>
        <w:tc>
          <w:tcPr>
            <w:tcW w:w="1804" w:type="dxa"/>
            <w:vAlign w:val="center"/>
          </w:tcPr>
          <w:p>
            <w:pPr>
              <w:pStyle w:val="2"/>
              <w:adjustRightInd w:val="0"/>
              <w:snapToGrid w:val="0"/>
              <w:spacing w:line="360" w:lineRule="auto"/>
              <w:jc w:val="center"/>
              <w:rPr>
                <w:rFonts w:hAnsi="宋体"/>
                <w:color w:val="000000"/>
                <w:szCs w:val="21"/>
              </w:rPr>
            </w:pPr>
            <w:r>
              <w:rPr>
                <w:rFonts w:hint="eastAsia" w:hAnsi="宋体"/>
                <w:color w:val="000000"/>
                <w:szCs w:val="21"/>
              </w:rPr>
              <w:t>≥</w:t>
            </w:r>
            <w:r>
              <w:rPr>
                <w:rFonts w:hint="eastAsia" w:hAnsi="宋体"/>
                <w:color w:val="000000"/>
                <w:szCs w:val="21"/>
                <w:lang w:val="en-US" w:eastAsia="zh-CN"/>
              </w:rPr>
              <w:t>3</w:t>
            </w:r>
            <w:r>
              <w:rPr>
                <w:rFonts w:hint="eastAsia" w:hAnsi="宋体"/>
                <w:color w:val="000000"/>
                <w:szCs w:val="21"/>
              </w:rPr>
              <w:t>0000</w:t>
            </w:r>
          </w:p>
        </w:tc>
        <w:tc>
          <w:tcPr>
            <w:tcW w:w="2156" w:type="dxa"/>
            <w:vAlign w:val="center"/>
          </w:tcPr>
          <w:p>
            <w:pPr>
              <w:pStyle w:val="2"/>
              <w:adjustRightInd w:val="0"/>
              <w:snapToGrid w:val="0"/>
              <w:spacing w:line="360" w:lineRule="auto"/>
              <w:jc w:val="center"/>
              <w:rPr>
                <w:rFonts w:hAnsi="宋体"/>
                <w:color w:val="000000"/>
                <w:szCs w:val="21"/>
              </w:rPr>
            </w:pPr>
            <w:r>
              <w:rPr>
                <w:rFonts w:hint="eastAsia" w:hAnsi="宋体"/>
                <w:color w:val="000000"/>
                <w:szCs w:val="21"/>
              </w:rPr>
              <w:t>≥</w:t>
            </w:r>
            <w:r>
              <w:rPr>
                <w:rFonts w:hint="eastAsia" w:hAnsi="宋体"/>
                <w:color w:val="000000"/>
                <w:szCs w:val="21"/>
                <w:lang w:val="en-US" w:eastAsia="zh-CN"/>
              </w:rPr>
              <w:t>3</w:t>
            </w:r>
            <w:r>
              <w:rPr>
                <w:rFonts w:hint="eastAsia" w:hAnsi="宋体"/>
                <w:color w:val="000000"/>
                <w:szCs w:val="21"/>
              </w:rPr>
              <w:t>000且＜</w:t>
            </w:r>
            <w:r>
              <w:rPr>
                <w:rFonts w:hint="eastAsia" w:hAnsi="宋体"/>
                <w:color w:val="000000"/>
                <w:szCs w:val="21"/>
                <w:lang w:val="en-US" w:eastAsia="zh-CN"/>
              </w:rPr>
              <w:t>3</w:t>
            </w:r>
            <w:r>
              <w:rPr>
                <w:rFonts w:hint="eastAsia" w:hAnsi="宋体"/>
                <w:color w:val="000000"/>
                <w:szCs w:val="21"/>
              </w:rPr>
              <w:t>0000</w:t>
            </w:r>
          </w:p>
        </w:tc>
        <w:tc>
          <w:tcPr>
            <w:tcW w:w="1696" w:type="dxa"/>
            <w:vAlign w:val="center"/>
          </w:tcPr>
          <w:p>
            <w:pPr>
              <w:pStyle w:val="2"/>
              <w:adjustRightInd w:val="0"/>
              <w:snapToGrid w:val="0"/>
              <w:spacing w:line="360" w:lineRule="auto"/>
              <w:jc w:val="center"/>
              <w:rPr>
                <w:rFonts w:hAnsi="宋体"/>
                <w:color w:val="000000"/>
                <w:szCs w:val="21"/>
              </w:rPr>
            </w:pPr>
            <w:r>
              <w:rPr>
                <w:rFonts w:hint="eastAsia" w:hAnsi="宋体"/>
                <w:color w:val="000000"/>
                <w:szCs w:val="21"/>
              </w:rPr>
              <w:t>＜</w:t>
            </w:r>
            <w:r>
              <w:rPr>
                <w:rFonts w:hint="eastAsia" w:hAnsi="宋体"/>
                <w:color w:val="000000"/>
                <w:szCs w:val="21"/>
                <w:lang w:val="en-US" w:eastAsia="zh-CN"/>
              </w:rPr>
              <w:t>3</w:t>
            </w:r>
            <w:r>
              <w:rPr>
                <w:rFonts w:hint="eastAsia" w:hAnsi="宋体"/>
                <w:color w:val="000000"/>
                <w:szCs w:val="21"/>
              </w:rPr>
              <w:t>000</w:t>
            </w:r>
          </w:p>
        </w:tc>
      </w:tr>
    </w:tbl>
    <w:p>
      <w:pPr>
        <w:snapToGrid w:val="0"/>
        <w:spacing w:line="360" w:lineRule="auto"/>
        <w:ind w:firstLine="345" w:firstLineChars="192"/>
        <w:rPr>
          <w:rFonts w:ascii="宋体" w:hAnsi="宋体"/>
          <w:b/>
          <w:color w:val="000000"/>
          <w:szCs w:val="21"/>
        </w:rPr>
      </w:pPr>
      <w:r>
        <w:rPr>
          <w:rFonts w:hint="eastAsia" w:ascii="宋体" w:hAnsi="宋体"/>
          <w:color w:val="000000"/>
          <w:sz w:val="18"/>
          <w:szCs w:val="18"/>
        </w:rPr>
        <w:t>注：年销售额包括该类产品的内销和外销总额。</w:t>
      </w:r>
    </w:p>
    <w:p>
      <w:pPr>
        <w:snapToGrid w:val="0"/>
        <w:spacing w:line="360" w:lineRule="auto"/>
        <w:rPr>
          <w:rFonts w:ascii="黑体" w:hAnsi="黑体" w:eastAsia="黑体"/>
          <w:b/>
          <w:color w:val="000000"/>
          <w:szCs w:val="21"/>
        </w:rPr>
      </w:pPr>
      <w:r>
        <w:rPr>
          <w:rFonts w:hint="eastAsia" w:ascii="黑体" w:hAnsi="黑体" w:eastAsia="黑体"/>
          <w:b/>
          <w:color w:val="000000"/>
          <w:szCs w:val="21"/>
        </w:rPr>
        <w:t>5.检验依据</w:t>
      </w:r>
    </w:p>
    <w:p>
      <w:pPr>
        <w:snapToGrid w:val="0"/>
        <w:spacing w:line="360" w:lineRule="auto"/>
        <w:ind w:firstLine="315" w:firstLineChars="150"/>
        <w:rPr>
          <w:rFonts w:ascii="黑体" w:hAnsi="黑体" w:eastAsia="黑体"/>
          <w:b/>
          <w:color w:val="000000"/>
          <w:szCs w:val="21"/>
        </w:rPr>
      </w:pPr>
      <w:r>
        <w:rPr>
          <w:rFonts w:hint="eastAsia" w:ascii="宋体" w:hAnsi="宋体"/>
        </w:rPr>
        <w:t>凡是注日期的文件，其随后所有的修改单（不包括勘误的内容）或修订版不适用于本细则。凡是不注日期的文件，其最新版本适用于本细则。</w:t>
      </w:r>
    </w:p>
    <w:p>
      <w:pPr>
        <w:snapToGrid w:val="0"/>
        <w:spacing w:line="360" w:lineRule="auto"/>
        <w:ind w:firstLine="420" w:firstLineChars="200"/>
        <w:rPr>
          <w:rFonts w:hint="eastAsia" w:ascii="宋体" w:hAnsi="宋体"/>
        </w:rPr>
      </w:pPr>
      <w:r>
        <w:rPr>
          <w:rFonts w:hint="default" w:ascii="宋体" w:hAnsi="宋体"/>
          <w:lang w:val="en-US" w:eastAsia="zh-CN"/>
        </w:rPr>
        <w:t xml:space="preserve">GB 21027-2020 </w:t>
      </w:r>
      <w:r>
        <w:rPr>
          <w:rFonts w:hint="eastAsia" w:ascii="宋体" w:hAnsi="宋体"/>
          <w:lang w:val="en-US" w:eastAsia="zh-CN"/>
        </w:rPr>
        <w:t>学生用品的安全通用要求</w:t>
      </w:r>
    </w:p>
    <w:p>
      <w:pPr>
        <w:spacing w:line="360" w:lineRule="auto"/>
        <w:ind w:firstLine="420" w:firstLineChars="200"/>
        <w:rPr>
          <w:rFonts w:ascii="宋体" w:hAnsi="宋体"/>
          <w:color w:val="000000"/>
          <w:szCs w:val="21"/>
        </w:rPr>
      </w:pPr>
      <w:r>
        <w:rPr>
          <w:rFonts w:hint="eastAsia" w:ascii="宋体" w:hAnsi="宋体"/>
          <w:color w:val="000000"/>
          <w:szCs w:val="21"/>
        </w:rPr>
        <w:t>相关的法律法规、部门规章和规定。</w:t>
      </w:r>
    </w:p>
    <w:p>
      <w:pPr>
        <w:pStyle w:val="2"/>
        <w:adjustRightInd w:val="0"/>
        <w:snapToGrid w:val="0"/>
        <w:spacing w:line="360" w:lineRule="auto"/>
        <w:ind w:firstLine="420" w:firstLineChars="200"/>
        <w:rPr>
          <w:rFonts w:hAnsi="宋体"/>
          <w:szCs w:val="21"/>
        </w:rPr>
      </w:pPr>
      <w:r>
        <w:rPr>
          <w:rFonts w:hint="eastAsia" w:hAnsi="宋体"/>
          <w:szCs w:val="21"/>
        </w:rPr>
        <w:t>经网上自我声明公开或备案的现行有效企业标准及产品明示质量要求。</w:t>
      </w:r>
    </w:p>
    <w:p>
      <w:pPr>
        <w:pStyle w:val="2"/>
        <w:adjustRightInd w:val="0"/>
        <w:snapToGrid w:val="0"/>
        <w:spacing w:line="360" w:lineRule="auto"/>
        <w:rPr>
          <w:rFonts w:ascii="黑体" w:hAnsi="黑体" w:eastAsia="黑体"/>
          <w:b/>
          <w:color w:val="000000"/>
          <w:szCs w:val="21"/>
        </w:rPr>
      </w:pPr>
      <w:r>
        <w:rPr>
          <w:rFonts w:hint="eastAsia" w:ascii="黑体" w:hAnsi="黑体" w:eastAsia="黑体"/>
          <w:b/>
          <w:color w:val="000000"/>
          <w:szCs w:val="21"/>
        </w:rPr>
        <w:t>6.抽样要求</w:t>
      </w:r>
    </w:p>
    <w:p>
      <w:pPr>
        <w:pStyle w:val="2"/>
        <w:adjustRightInd w:val="0"/>
        <w:snapToGrid w:val="0"/>
        <w:spacing w:line="360" w:lineRule="auto"/>
        <w:rPr>
          <w:rFonts w:hAnsi="宋体"/>
          <w:color w:val="000000"/>
          <w:szCs w:val="21"/>
        </w:rPr>
      </w:pPr>
      <w:r>
        <w:rPr>
          <w:rFonts w:hint="eastAsia" w:hAnsi="宋体"/>
          <w:color w:val="000000"/>
          <w:szCs w:val="21"/>
        </w:rPr>
        <w:t>6.1抽样型号或规格</w:t>
      </w:r>
    </w:p>
    <w:p>
      <w:pPr>
        <w:pStyle w:val="2"/>
        <w:adjustRightInd w:val="0"/>
        <w:snapToGrid w:val="0"/>
        <w:spacing w:line="360" w:lineRule="auto"/>
        <w:ind w:firstLine="420" w:firstLineChars="200"/>
        <w:rPr>
          <w:rFonts w:hAnsi="宋体"/>
          <w:b/>
          <w:color w:val="000000"/>
          <w:szCs w:val="21"/>
        </w:rPr>
      </w:pPr>
      <w:r>
        <w:rPr>
          <w:rFonts w:hint="eastAsia"/>
          <w:color w:val="000000"/>
        </w:rPr>
        <w:t>抽样样品应为同一型号(货号)规格、同一批次产品。</w:t>
      </w:r>
    </w:p>
    <w:p>
      <w:pPr>
        <w:pStyle w:val="2"/>
        <w:adjustRightInd w:val="0"/>
        <w:snapToGrid w:val="0"/>
        <w:spacing w:line="360" w:lineRule="auto"/>
        <w:rPr>
          <w:rFonts w:hAnsi="宋体"/>
          <w:color w:val="000000"/>
          <w:szCs w:val="21"/>
        </w:rPr>
      </w:pPr>
      <w:r>
        <w:rPr>
          <w:rFonts w:hint="eastAsia" w:hAnsi="宋体"/>
          <w:color w:val="000000"/>
          <w:szCs w:val="21"/>
        </w:rPr>
        <w:t>6.2 抽样方法</w:t>
      </w:r>
    </w:p>
    <w:p>
      <w:pPr>
        <w:pStyle w:val="2"/>
        <w:adjustRightInd w:val="0"/>
        <w:snapToGrid w:val="0"/>
        <w:spacing w:line="360" w:lineRule="auto"/>
        <w:ind w:firstLine="420" w:firstLineChars="200"/>
        <w:rPr>
          <w:rFonts w:hint="eastAsia" w:hAnsi="宋体"/>
          <w:color w:val="000000"/>
          <w:szCs w:val="21"/>
        </w:rPr>
      </w:pPr>
      <w:r>
        <w:rPr>
          <w:rFonts w:hint="eastAsia" w:hAnsi="宋体"/>
          <w:color w:val="000000"/>
          <w:szCs w:val="21"/>
        </w:rPr>
        <w:t>在企业的成品库内或市场待销产品中随机抽取经企业自检合格或以其它方式表明合格的、生产企业1年内、流通领域2年内生产的产品。抽样应采取随机方式或全数方式，通常应在受检单位售柜或仓库内的待销产品中抽取。</w:t>
      </w:r>
    </w:p>
    <w:p>
      <w:pPr>
        <w:pStyle w:val="2"/>
        <w:adjustRightInd w:val="0"/>
        <w:snapToGrid w:val="0"/>
        <w:spacing w:line="360" w:lineRule="auto"/>
        <w:rPr>
          <w:rFonts w:hAnsi="宋体"/>
          <w:color w:val="000000"/>
          <w:szCs w:val="21"/>
        </w:rPr>
      </w:pPr>
      <w:r>
        <w:rPr>
          <w:rFonts w:hint="eastAsia" w:hAnsi="宋体"/>
          <w:color w:val="000000"/>
          <w:szCs w:val="21"/>
        </w:rPr>
        <w:t>6.3 抽样基数</w:t>
      </w:r>
    </w:p>
    <w:p>
      <w:pPr>
        <w:spacing w:line="440" w:lineRule="exact"/>
        <w:ind w:firstLine="420" w:firstLineChars="200"/>
        <w:rPr>
          <w:color w:val="000000"/>
        </w:rPr>
      </w:pPr>
      <w:r>
        <w:rPr>
          <w:rFonts w:hint="eastAsia"/>
          <w:color w:val="000000"/>
        </w:rPr>
        <w:t>抽样产品基数满足抽样数量即可。</w:t>
      </w:r>
      <w:r>
        <w:rPr>
          <w:rFonts w:hint="eastAsia" w:hAnsi="宋体"/>
          <w:color w:val="000000"/>
          <w:szCs w:val="21"/>
        </w:rPr>
        <w:t xml:space="preserve">  </w:t>
      </w:r>
    </w:p>
    <w:p>
      <w:pPr>
        <w:pStyle w:val="2"/>
        <w:adjustRightInd w:val="0"/>
        <w:snapToGrid w:val="0"/>
        <w:spacing w:line="360" w:lineRule="auto"/>
        <w:rPr>
          <w:rFonts w:hAnsi="宋体"/>
          <w:color w:val="000000"/>
          <w:szCs w:val="21"/>
        </w:rPr>
      </w:pPr>
      <w:r>
        <w:rPr>
          <w:rFonts w:hint="eastAsia" w:hAnsi="宋体"/>
          <w:color w:val="000000"/>
          <w:szCs w:val="21"/>
        </w:rPr>
        <w:t>6.4 抽样数量</w:t>
      </w:r>
    </w:p>
    <w:p>
      <w:pPr>
        <w:pStyle w:val="2"/>
        <w:adjustRightInd w:val="0"/>
        <w:snapToGrid w:val="0"/>
        <w:spacing w:line="360" w:lineRule="auto"/>
        <w:ind w:firstLine="420" w:firstLineChars="200"/>
        <w:jc w:val="cente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kern w:val="2"/>
          <w:sz w:val="21"/>
          <w:szCs w:val="21"/>
          <w:lang w:val="en-US" w:eastAsia="zh-CN" w:bidi="ar-SA"/>
        </w:rPr>
        <w:t>表2 抽样数量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806"/>
        <w:gridCol w:w="198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blHeader/>
          <w:jc w:val="center"/>
        </w:trPr>
        <w:tc>
          <w:tcPr>
            <w:tcW w:w="1715" w:type="dxa"/>
            <w:vAlign w:val="center"/>
          </w:tcPr>
          <w:p>
            <w:pPr>
              <w:jc w:val="center"/>
              <w:rPr>
                <w:rFonts w:ascii="宋体"/>
                <w:b/>
                <w:szCs w:val="21"/>
              </w:rPr>
            </w:pPr>
            <w:r>
              <w:rPr>
                <w:rFonts w:hint="eastAsia" w:ascii="宋体" w:hAnsi="宋体"/>
                <w:b/>
                <w:szCs w:val="21"/>
              </w:rPr>
              <w:t>产品</w:t>
            </w:r>
          </w:p>
        </w:tc>
        <w:tc>
          <w:tcPr>
            <w:tcW w:w="1806" w:type="dxa"/>
            <w:vAlign w:val="center"/>
          </w:tcPr>
          <w:p>
            <w:pPr>
              <w:jc w:val="center"/>
              <w:rPr>
                <w:rFonts w:ascii="宋体"/>
                <w:b/>
                <w:szCs w:val="21"/>
              </w:rPr>
            </w:pPr>
            <w:r>
              <w:rPr>
                <w:rFonts w:hint="eastAsia" w:ascii="宋体" w:hAnsi="宋体"/>
                <w:b/>
                <w:szCs w:val="21"/>
              </w:rPr>
              <w:t>抽样数量</w:t>
            </w:r>
          </w:p>
        </w:tc>
        <w:tc>
          <w:tcPr>
            <w:tcW w:w="1984" w:type="dxa"/>
            <w:vAlign w:val="center"/>
          </w:tcPr>
          <w:p>
            <w:pPr>
              <w:jc w:val="center"/>
              <w:rPr>
                <w:rFonts w:ascii="宋体"/>
                <w:b/>
                <w:szCs w:val="21"/>
              </w:rPr>
            </w:pPr>
            <w:r>
              <w:rPr>
                <w:rFonts w:hint="eastAsia" w:ascii="宋体" w:hAnsi="宋体"/>
                <w:b/>
                <w:szCs w:val="21"/>
              </w:rPr>
              <w:t>检验样数量</w:t>
            </w:r>
          </w:p>
        </w:tc>
        <w:tc>
          <w:tcPr>
            <w:tcW w:w="2127" w:type="dxa"/>
            <w:vAlign w:val="center"/>
          </w:tcPr>
          <w:p>
            <w:pPr>
              <w:jc w:val="center"/>
              <w:rPr>
                <w:rFonts w:ascii="宋体"/>
                <w:b/>
                <w:szCs w:val="21"/>
              </w:rPr>
            </w:pPr>
            <w:r>
              <w:rPr>
                <w:rFonts w:hint="eastAsia" w:ascii="宋体" w:hAnsi="宋体"/>
                <w:b/>
                <w:szCs w:val="21"/>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5" w:type="dxa"/>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课业簿册</w:t>
            </w:r>
          </w:p>
        </w:tc>
        <w:tc>
          <w:tcPr>
            <w:tcW w:w="1806" w:type="dxa"/>
            <w:vAlign w:val="center"/>
          </w:tcPr>
          <w:p>
            <w:pPr>
              <w:jc w:val="center"/>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本</w:t>
            </w:r>
          </w:p>
        </w:tc>
        <w:tc>
          <w:tcPr>
            <w:tcW w:w="1984" w:type="dxa"/>
            <w:vAlign w:val="center"/>
          </w:tcPr>
          <w:p>
            <w:pPr>
              <w:jc w:val="center"/>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本</w:t>
            </w:r>
          </w:p>
        </w:tc>
        <w:tc>
          <w:tcPr>
            <w:tcW w:w="2127" w:type="dxa"/>
            <w:vAlign w:val="center"/>
          </w:tcPr>
          <w:p>
            <w:pPr>
              <w:jc w:val="center"/>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本</w:t>
            </w:r>
          </w:p>
        </w:tc>
      </w:tr>
    </w:tbl>
    <w:p>
      <w:pPr>
        <w:pStyle w:val="2"/>
        <w:adjustRightInd w:val="0"/>
        <w:snapToGrid w:val="0"/>
        <w:spacing w:line="360" w:lineRule="auto"/>
        <w:ind w:firstLine="420" w:firstLineChars="200"/>
        <w:rPr>
          <w:rFonts w:hAnsi="宋体"/>
          <w:color w:val="000000"/>
          <w:szCs w:val="21"/>
        </w:rPr>
      </w:pPr>
    </w:p>
    <w:p>
      <w:pPr>
        <w:snapToGrid w:val="0"/>
        <w:spacing w:line="360" w:lineRule="auto"/>
        <w:rPr>
          <w:rFonts w:ascii="宋体" w:hAnsi="宋体"/>
          <w:color w:val="000000"/>
          <w:szCs w:val="21"/>
        </w:rPr>
      </w:pPr>
      <w:r>
        <w:rPr>
          <w:rFonts w:hint="eastAsia" w:ascii="宋体" w:hAnsi="宋体"/>
          <w:color w:val="000000"/>
          <w:szCs w:val="21"/>
        </w:rPr>
        <w:t>6.5 样品处置</w:t>
      </w:r>
    </w:p>
    <w:p>
      <w:pPr>
        <w:snapToGrid w:val="0"/>
        <w:spacing w:line="360" w:lineRule="auto"/>
        <w:rPr>
          <w:rFonts w:ascii="宋体" w:hAnsi="宋体"/>
          <w:color w:val="000000"/>
          <w:szCs w:val="21"/>
        </w:rPr>
      </w:pPr>
      <w:r>
        <w:rPr>
          <w:rFonts w:hint="eastAsia" w:ascii="宋体" w:hAnsi="宋体"/>
          <w:color w:val="000000"/>
          <w:szCs w:val="21"/>
        </w:rPr>
        <w:t xml:space="preserve">    样品抽取后应应立即采用适当手段将样品密封，封样时应当有防拆封措施，以保证样品的真实性。检验用样品应封样，并寄、送至指定的检验机构相关部门</w:t>
      </w:r>
      <w:r>
        <w:rPr>
          <w:rFonts w:hint="eastAsia" w:ascii="宋体" w:hAnsi="宋体"/>
          <w:color w:val="auto"/>
          <w:szCs w:val="21"/>
          <w:lang w:val="en-US" w:eastAsia="zh-CN"/>
        </w:rPr>
        <w:t>,</w:t>
      </w:r>
      <w:r>
        <w:rPr>
          <w:rFonts w:hint="eastAsia" w:ascii="宋体" w:hAnsi="宋体"/>
          <w:color w:val="auto"/>
          <w:szCs w:val="21"/>
        </w:rPr>
        <w:t>备用样品</w:t>
      </w:r>
      <w:r>
        <w:rPr>
          <w:rFonts w:hint="eastAsia" w:ascii="宋体" w:hAnsi="宋体"/>
          <w:color w:val="auto"/>
          <w:szCs w:val="21"/>
          <w:lang w:eastAsia="zh-CN"/>
        </w:rPr>
        <w:t>原则上经封存后留置在受检单位</w:t>
      </w:r>
      <w:r>
        <w:rPr>
          <w:rFonts w:hint="eastAsia" w:ascii="宋体" w:hAnsi="宋体"/>
          <w:color w:val="auto"/>
          <w:szCs w:val="21"/>
        </w:rPr>
        <w:t>。</w:t>
      </w:r>
    </w:p>
    <w:p>
      <w:pPr>
        <w:pStyle w:val="2"/>
        <w:adjustRightInd w:val="0"/>
        <w:snapToGrid w:val="0"/>
        <w:spacing w:line="360" w:lineRule="auto"/>
        <w:rPr>
          <w:rFonts w:hAnsi="宋体"/>
          <w:color w:val="000000"/>
          <w:szCs w:val="21"/>
        </w:rPr>
      </w:pPr>
      <w:r>
        <w:rPr>
          <w:rFonts w:hint="eastAsia" w:hAnsi="宋体"/>
          <w:color w:val="000000"/>
          <w:szCs w:val="21"/>
        </w:rPr>
        <w:t>6.6抽样单</w:t>
      </w:r>
    </w:p>
    <w:p>
      <w:pPr>
        <w:snapToGrid w:val="0"/>
        <w:spacing w:line="360" w:lineRule="auto"/>
        <w:rPr>
          <w:rFonts w:ascii="宋体" w:hAnsi="宋体"/>
          <w:color w:val="000000"/>
          <w:szCs w:val="21"/>
        </w:rPr>
      </w:pPr>
      <w:r>
        <w:rPr>
          <w:rFonts w:hint="eastAsia" w:ascii="宋体" w:hAnsi="宋体"/>
          <w:b/>
          <w:color w:val="000000"/>
          <w:szCs w:val="21"/>
        </w:rPr>
        <w:t xml:space="preserve">    </w:t>
      </w:r>
      <w:r>
        <w:rPr>
          <w:rFonts w:hint="eastAsia" w:ascii="宋体" w:hAnsi="宋体"/>
          <w:color w:val="000000"/>
          <w:szCs w:val="21"/>
        </w:rPr>
        <w:t>应按有关规定填写抽样单，并记录被抽查产品及企业相关信息，并由受检单位/生产企业进行确认。同时记录被抽查企业上一年度生产的受检的</w:t>
      </w:r>
      <w:r>
        <w:rPr>
          <w:rFonts w:hint="eastAsia" w:ascii="宋体" w:hAnsi="宋体"/>
          <w:color w:val="000000"/>
          <w:szCs w:val="21"/>
          <w:lang w:eastAsia="zh-CN"/>
        </w:rPr>
        <w:t>课业簿册</w:t>
      </w:r>
      <w:r>
        <w:rPr>
          <w:rFonts w:hint="eastAsia" w:ascii="宋体" w:hAnsi="宋体"/>
          <w:color w:val="000000"/>
          <w:szCs w:val="21"/>
        </w:rPr>
        <w:t>、</w:t>
      </w:r>
      <w:r>
        <w:rPr>
          <w:rFonts w:hint="eastAsia" w:ascii="宋体" w:hAnsi="宋体"/>
          <w:color w:val="000000"/>
          <w:szCs w:val="21"/>
          <w:lang w:eastAsia="zh-CN"/>
        </w:rPr>
        <w:t>课业簿册</w:t>
      </w:r>
      <w:r>
        <w:rPr>
          <w:rFonts w:hint="eastAsia" w:ascii="宋体" w:hAnsi="宋体"/>
          <w:color w:val="000000"/>
          <w:szCs w:val="21"/>
        </w:rPr>
        <w:t>产品销售总额，以万元计；若企业上一年度未生产，则记录本年度实际销售额，并加以注明。对于产品检验所需的样品技术参数（如材质）等信息，需要被抽查企业提供的，应在抽样现场获取，并经企业确认。</w:t>
      </w:r>
    </w:p>
    <w:p>
      <w:pPr>
        <w:pStyle w:val="2"/>
        <w:adjustRightInd w:val="0"/>
        <w:snapToGrid w:val="0"/>
        <w:spacing w:line="360" w:lineRule="auto"/>
        <w:rPr>
          <w:rFonts w:hAnsi="宋体"/>
          <w:color w:val="000000"/>
          <w:szCs w:val="21"/>
        </w:rPr>
      </w:pPr>
      <w:r>
        <w:rPr>
          <w:rFonts w:hint="eastAsia" w:hAnsi="宋体"/>
          <w:color w:val="000000"/>
          <w:szCs w:val="21"/>
        </w:rPr>
        <w:t>6.7 注意事项</w:t>
      </w:r>
    </w:p>
    <w:p>
      <w:pPr>
        <w:widowControl/>
        <w:spacing w:line="360" w:lineRule="auto"/>
        <w:jc w:val="left"/>
        <w:rPr>
          <w:rFonts w:ascii="宋体" w:hAnsi="宋体"/>
          <w:color w:val="000000"/>
          <w:szCs w:val="21"/>
        </w:rPr>
      </w:pPr>
      <w:r>
        <w:rPr>
          <w:rFonts w:hint="eastAsia" w:ascii="宋体" w:hAnsi="宋体"/>
          <w:color w:val="000000"/>
          <w:szCs w:val="21"/>
        </w:rPr>
        <w:t>6.7.1样品到达检验机构后,接收人负责检查、记录样品的状态、封样单有无破损及其他可能对检测结果或者综合判定产生影响的情况，并确认样品与抽样单的记录是否相符，对检验样品分别加贴标识后保存。</w:t>
      </w:r>
    </w:p>
    <w:p>
      <w:pPr>
        <w:widowControl/>
        <w:spacing w:line="360" w:lineRule="auto"/>
        <w:jc w:val="left"/>
        <w:rPr>
          <w:rFonts w:hint="eastAsia" w:ascii="宋体" w:hAnsi="宋体"/>
          <w:color w:val="000000"/>
          <w:szCs w:val="21"/>
        </w:rPr>
      </w:pPr>
      <w:r>
        <w:rPr>
          <w:rFonts w:hint="eastAsia" w:ascii="宋体" w:hAnsi="宋体"/>
          <w:color w:val="000000"/>
          <w:szCs w:val="21"/>
        </w:rPr>
        <w:t>6.7.2 抽取的样品在运送和保存时应防止曝晒、雨雪淋；保持通风干燥，防潮，避免高温环境；远离化学物质、液体侵蚀；避免尖锐物品的戳、划。</w:t>
      </w:r>
    </w:p>
    <w:p>
      <w:pPr>
        <w:adjustRightInd w:val="0"/>
        <w:snapToGrid w:val="0"/>
        <w:spacing w:line="360" w:lineRule="auto"/>
        <w:rPr>
          <w:rFonts w:hint="eastAsia" w:ascii="宋体" w:hAnsi="宋体"/>
          <w:color w:val="000000"/>
          <w:szCs w:val="21"/>
        </w:rPr>
      </w:pPr>
      <w:r>
        <w:rPr>
          <w:rFonts w:hint="eastAsia" w:ascii="宋体" w:hAnsi="宋体"/>
          <w:color w:val="000000"/>
          <w:szCs w:val="21"/>
        </w:rPr>
        <w:t>6.7.3企业标准及产品明示质量要求，若产品明示的执行标准为经备案的现行有效的企业标准，则视其企业标准为明示质量指标，并要求企业提供其现行有效的企业标准文本。</w:t>
      </w:r>
    </w:p>
    <w:p>
      <w:pPr>
        <w:snapToGrid w:val="0"/>
        <w:spacing w:line="360" w:lineRule="auto"/>
        <w:rPr>
          <w:rFonts w:ascii="黑体" w:hAnsi="黑体" w:eastAsia="黑体"/>
          <w:b/>
          <w:color w:val="000000"/>
          <w:szCs w:val="21"/>
        </w:rPr>
      </w:pPr>
      <w:r>
        <w:rPr>
          <w:rFonts w:hint="eastAsia" w:ascii="黑体" w:hAnsi="黑体" w:eastAsia="黑体"/>
          <w:b/>
          <w:color w:val="000000"/>
          <w:szCs w:val="21"/>
        </w:rPr>
        <w:t>7.检验要求</w:t>
      </w:r>
    </w:p>
    <w:p>
      <w:pPr>
        <w:snapToGrid w:val="0"/>
        <w:spacing w:line="360" w:lineRule="auto"/>
        <w:rPr>
          <w:rFonts w:hint="eastAsia" w:ascii="宋体" w:hAnsi="宋体"/>
          <w:color w:val="000000"/>
          <w:szCs w:val="21"/>
        </w:rPr>
      </w:pPr>
      <w:r>
        <w:rPr>
          <w:rFonts w:hint="eastAsia" w:ascii="宋体" w:hAnsi="宋体"/>
          <w:color w:val="000000"/>
          <w:szCs w:val="21"/>
        </w:rPr>
        <w:t>7.1检验项目及重要程度分类见表3。</w:t>
      </w:r>
    </w:p>
    <w:p>
      <w:pPr>
        <w:snapToGrid w:val="0"/>
        <w:spacing w:line="360" w:lineRule="auto"/>
        <w:rPr>
          <w:rFonts w:hint="eastAsia" w:ascii="宋体" w:hAnsi="宋体"/>
          <w:color w:val="000000"/>
          <w:szCs w:val="21"/>
        </w:rPr>
      </w:pPr>
    </w:p>
    <w:p>
      <w:pPr>
        <w:snapToGrid w:val="0"/>
        <w:jc w:val="center"/>
        <w:rPr>
          <w:rFonts w:hint="eastAsia" w:ascii="宋体" w:hAnsi="宋体"/>
          <w:color w:val="000000" w:themeColor="text1"/>
          <w:szCs w:val="21"/>
        </w:rPr>
      </w:pPr>
      <w:r>
        <w:rPr>
          <w:rFonts w:hint="eastAsia" w:ascii="宋体" w:hAnsi="宋体"/>
          <w:color w:val="000000" w:themeColor="text1"/>
          <w:szCs w:val="21"/>
        </w:rPr>
        <w:t>表</w:t>
      </w:r>
      <w:r>
        <w:rPr>
          <w:rFonts w:hint="eastAsia" w:ascii="宋体" w:hAnsi="宋体"/>
          <w:color w:val="000000" w:themeColor="text1"/>
          <w:szCs w:val="21"/>
          <w:lang w:val="en-US" w:eastAsia="zh-CN"/>
        </w:rPr>
        <w:t>3</w:t>
      </w:r>
      <w:r>
        <w:rPr>
          <w:rFonts w:hint="eastAsia" w:ascii="宋体" w:hAnsi="宋体"/>
          <w:color w:val="000000" w:themeColor="text1"/>
          <w:szCs w:val="21"/>
        </w:rPr>
        <w:t>　检验项目</w:t>
      </w:r>
      <w:r>
        <w:rPr>
          <w:rFonts w:hint="eastAsia" w:ascii="宋体" w:hAnsi="宋体"/>
          <w:color w:val="000000" w:themeColor="text1"/>
          <w:szCs w:val="21"/>
          <w:lang w:val="en-US" w:eastAsia="zh-CN"/>
        </w:rPr>
        <w:t>及重要程度分类</w:t>
      </w:r>
    </w:p>
    <w:tbl>
      <w:tblPr>
        <w:tblStyle w:val="6"/>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309"/>
        <w:gridCol w:w="2058"/>
        <w:gridCol w:w="1938"/>
        <w:gridCol w:w="1200"/>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blHeader/>
          <w:jc w:val="center"/>
        </w:trPr>
        <w:tc>
          <w:tcPr>
            <w:tcW w:w="687" w:type="dxa"/>
            <w:noWrap w:val="0"/>
            <w:vAlign w:val="center"/>
          </w:tcPr>
          <w:p>
            <w:pPr>
              <w:snapToGrid w:val="0"/>
              <w:jc w:val="center"/>
              <w:rPr>
                <w:rFonts w:hint="eastAsia" w:ascii="宋体" w:hAnsi="宋体"/>
                <w:color w:val="000000"/>
                <w:szCs w:val="21"/>
              </w:rPr>
            </w:pPr>
            <w:r>
              <w:rPr>
                <w:rFonts w:hint="eastAsia" w:ascii="宋体" w:hAnsi="宋体"/>
                <w:color w:val="000000"/>
                <w:szCs w:val="21"/>
              </w:rPr>
              <w:t>序号</w:t>
            </w:r>
          </w:p>
        </w:tc>
        <w:tc>
          <w:tcPr>
            <w:tcW w:w="2309" w:type="dxa"/>
            <w:noWrap w:val="0"/>
            <w:vAlign w:val="center"/>
          </w:tcPr>
          <w:p>
            <w:pPr>
              <w:snapToGrid w:val="0"/>
              <w:jc w:val="center"/>
              <w:rPr>
                <w:rFonts w:hint="eastAsia" w:ascii="宋体" w:hAnsi="宋体"/>
                <w:color w:val="000000"/>
                <w:szCs w:val="21"/>
              </w:rPr>
            </w:pPr>
            <w:r>
              <w:rPr>
                <w:rFonts w:hint="eastAsia" w:ascii="宋体" w:hAnsi="宋体"/>
                <w:color w:val="000000"/>
                <w:szCs w:val="21"/>
              </w:rPr>
              <w:t>检验项目</w:t>
            </w:r>
          </w:p>
        </w:tc>
        <w:tc>
          <w:tcPr>
            <w:tcW w:w="2058" w:type="dxa"/>
            <w:noWrap w:val="0"/>
            <w:vAlign w:val="center"/>
          </w:tcPr>
          <w:p>
            <w:pPr>
              <w:snapToGrid w:val="0"/>
              <w:jc w:val="center"/>
              <w:rPr>
                <w:rFonts w:hint="eastAsia" w:ascii="宋体" w:hAnsi="宋体"/>
                <w:color w:val="000000"/>
                <w:szCs w:val="21"/>
              </w:rPr>
            </w:pPr>
            <w:r>
              <w:rPr>
                <w:rFonts w:hint="eastAsia" w:ascii="宋体" w:hAnsi="宋体"/>
                <w:color w:val="000000"/>
                <w:szCs w:val="21"/>
              </w:rPr>
              <w:t>依据标准及条款</w:t>
            </w:r>
          </w:p>
        </w:tc>
        <w:tc>
          <w:tcPr>
            <w:tcW w:w="1938" w:type="dxa"/>
            <w:noWrap w:val="0"/>
            <w:vAlign w:val="center"/>
          </w:tcPr>
          <w:p>
            <w:pPr>
              <w:snapToGrid w:val="0"/>
              <w:jc w:val="center"/>
              <w:rPr>
                <w:rFonts w:hint="eastAsia" w:ascii="宋体" w:hAnsi="宋体"/>
                <w:color w:val="000000"/>
                <w:szCs w:val="21"/>
              </w:rPr>
            </w:pPr>
            <w:r>
              <w:rPr>
                <w:rFonts w:hint="eastAsia" w:ascii="宋体" w:hAnsi="宋体"/>
                <w:color w:val="000000"/>
                <w:szCs w:val="21"/>
              </w:rPr>
              <w:t>检验方法及条款</w:t>
            </w:r>
          </w:p>
        </w:tc>
        <w:tc>
          <w:tcPr>
            <w:tcW w:w="1200" w:type="dxa"/>
            <w:noWrap w:val="0"/>
            <w:vAlign w:val="center"/>
          </w:tcPr>
          <w:p>
            <w:pPr>
              <w:snapToGrid w:val="0"/>
              <w:jc w:val="center"/>
              <w:rPr>
                <w:rFonts w:hint="eastAsia" w:ascii="宋体" w:hAnsi="宋体"/>
                <w:color w:val="000000"/>
                <w:szCs w:val="21"/>
              </w:rPr>
            </w:pPr>
            <w:r>
              <w:rPr>
                <w:rFonts w:hint="eastAsia" w:ascii="宋体" w:hAnsi="宋体"/>
                <w:color w:val="000000"/>
                <w:szCs w:val="21"/>
              </w:rPr>
              <w:t>重要程度类别</w:t>
            </w:r>
          </w:p>
        </w:tc>
        <w:tc>
          <w:tcPr>
            <w:tcW w:w="961" w:type="dxa"/>
            <w:noWrap w:val="0"/>
            <w:vAlign w:val="center"/>
          </w:tcPr>
          <w:p>
            <w:pPr>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87" w:type="dxa"/>
            <w:noWrap w:val="0"/>
            <w:vAlign w:val="center"/>
          </w:tcPr>
          <w:p>
            <w:pPr>
              <w:snapToGrid w:val="0"/>
              <w:jc w:val="center"/>
              <w:rPr>
                <w:rFonts w:hint="eastAsia" w:ascii="宋体" w:hAnsi="宋体"/>
                <w:color w:val="000000"/>
                <w:szCs w:val="21"/>
              </w:rPr>
            </w:pPr>
            <w:r>
              <w:rPr>
                <w:rFonts w:hint="eastAsia" w:ascii="宋体" w:hAnsi="宋体"/>
                <w:color w:val="000000"/>
                <w:szCs w:val="21"/>
              </w:rPr>
              <w:t>1</w:t>
            </w:r>
          </w:p>
        </w:tc>
        <w:tc>
          <w:tcPr>
            <w:tcW w:w="2309" w:type="dxa"/>
            <w:noWrap w:val="0"/>
            <w:vAlign w:val="center"/>
          </w:tcPr>
          <w:p>
            <w:pPr>
              <w:snapToGrid w:val="0"/>
              <w:jc w:val="center"/>
              <w:rPr>
                <w:rFonts w:hint="eastAsia" w:ascii="宋体" w:hAnsi="宋体"/>
                <w:color w:val="000000"/>
                <w:szCs w:val="21"/>
              </w:rPr>
            </w:pPr>
            <w:r>
              <w:rPr>
                <w:rFonts w:hint="eastAsia" w:ascii="宋体" w:hAnsi="宋体"/>
                <w:color w:val="000000"/>
                <w:szCs w:val="21"/>
                <w:lang w:val="en-US" w:eastAsia="zh-CN"/>
              </w:rPr>
              <w:t xml:space="preserve">可迁移元素的限量 </w:t>
            </w:r>
          </w:p>
        </w:tc>
        <w:tc>
          <w:tcPr>
            <w:tcW w:w="2058" w:type="dxa"/>
            <w:noWrap w:val="0"/>
            <w:vAlign w:val="center"/>
          </w:tcPr>
          <w:p>
            <w:pPr>
              <w:snapToGrid w:val="0"/>
              <w:jc w:val="center"/>
              <w:rPr>
                <w:rFonts w:hint="eastAsia" w:ascii="宋体" w:hAnsi="宋体"/>
                <w:color w:val="000000"/>
                <w:szCs w:val="21"/>
              </w:rPr>
            </w:pPr>
            <w:r>
              <w:rPr>
                <w:rFonts w:hint="default" w:ascii="宋体" w:hAnsi="宋体"/>
                <w:lang w:val="en-US" w:eastAsia="zh-CN"/>
              </w:rPr>
              <w:t>GB 21027-2020</w:t>
            </w:r>
          </w:p>
        </w:tc>
        <w:tc>
          <w:tcPr>
            <w:tcW w:w="1938" w:type="dxa"/>
            <w:noWrap w:val="0"/>
            <w:vAlign w:val="center"/>
          </w:tcPr>
          <w:p>
            <w:pPr>
              <w:snapToGrid w:val="0"/>
              <w:jc w:val="center"/>
              <w:rPr>
                <w:rFonts w:hint="eastAsia" w:ascii="宋体" w:hAnsi="宋体"/>
                <w:lang w:val="en-US" w:eastAsia="zh-CN"/>
              </w:rPr>
            </w:pPr>
            <w:r>
              <w:rPr>
                <w:rFonts w:hint="default" w:ascii="宋体" w:hAnsi="宋体"/>
                <w:lang w:val="en-US" w:eastAsia="zh-CN"/>
              </w:rPr>
              <w:t xml:space="preserve">GB 6675.4-2014 </w:t>
            </w:r>
          </w:p>
        </w:tc>
        <w:tc>
          <w:tcPr>
            <w:tcW w:w="1200" w:type="dxa"/>
            <w:noWrap w:val="0"/>
            <w:vAlign w:val="center"/>
          </w:tcPr>
          <w:p>
            <w:pPr>
              <w:snapToGrid w:val="0"/>
              <w:jc w:val="center"/>
              <w:rPr>
                <w:rFonts w:hint="default" w:ascii="宋体" w:hAnsi="宋体"/>
                <w:lang w:val="en-US" w:eastAsia="zh-CN"/>
              </w:rPr>
            </w:pPr>
            <w:r>
              <w:rPr>
                <w:rFonts w:hint="eastAsia" w:ascii="宋体" w:hAnsi="宋体"/>
                <w:lang w:val="en-US" w:eastAsia="zh-CN"/>
              </w:rPr>
              <w:t>A</w:t>
            </w:r>
          </w:p>
        </w:tc>
        <w:tc>
          <w:tcPr>
            <w:tcW w:w="961" w:type="dxa"/>
            <w:noWrap w:val="0"/>
            <w:vAlign w:val="center"/>
          </w:tcPr>
          <w:p>
            <w:pPr>
              <w:snapToGrid w:val="0"/>
              <w:jc w:val="center"/>
              <w:rPr>
                <w:rFonts w:hint="eastAsia"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87" w:type="dxa"/>
            <w:noWrap w:val="0"/>
            <w:vAlign w:val="center"/>
          </w:tcPr>
          <w:p>
            <w:pPr>
              <w:snapToGrid w:val="0"/>
              <w:jc w:val="center"/>
              <w:rPr>
                <w:rFonts w:hint="eastAsia" w:ascii="宋体" w:hAnsi="宋体"/>
                <w:color w:val="000000"/>
                <w:szCs w:val="21"/>
              </w:rPr>
            </w:pPr>
            <w:r>
              <w:rPr>
                <w:rFonts w:hint="eastAsia" w:ascii="宋体" w:hAnsi="宋体"/>
                <w:color w:val="000000"/>
                <w:szCs w:val="21"/>
              </w:rPr>
              <w:t>2</w:t>
            </w:r>
          </w:p>
        </w:tc>
        <w:tc>
          <w:tcPr>
            <w:tcW w:w="2309" w:type="dxa"/>
            <w:noWrap w:val="0"/>
            <w:vAlign w:val="center"/>
          </w:tcPr>
          <w:p>
            <w:pPr>
              <w:snapToGrid w:val="0"/>
              <w:jc w:val="center"/>
              <w:rPr>
                <w:rFonts w:hint="eastAsia" w:ascii="宋体" w:hAnsi="宋体"/>
                <w:color w:val="000000"/>
                <w:szCs w:val="21"/>
              </w:rPr>
            </w:pPr>
            <w:r>
              <w:rPr>
                <w:rFonts w:hint="default" w:ascii="宋体" w:hAnsi="宋体"/>
                <w:color w:val="C00000"/>
                <w:szCs w:val="21"/>
                <w:lang w:val="en-US" w:eastAsia="zh-CN"/>
              </w:rPr>
              <w:t>D</w:t>
            </w:r>
            <w:r>
              <w:rPr>
                <w:rFonts w:hint="default" w:ascii="宋体" w:hAnsi="宋体"/>
                <w:color w:val="C00000"/>
                <w:szCs w:val="21"/>
                <w:vertAlign w:val="subscript"/>
                <w:lang w:val="en-US" w:eastAsia="zh-CN"/>
              </w:rPr>
              <w:t>65</w:t>
            </w:r>
            <w:r>
              <w:rPr>
                <w:rFonts w:hint="default" w:ascii="宋体" w:hAnsi="宋体"/>
                <w:color w:val="C00000"/>
                <w:szCs w:val="21"/>
                <w:lang w:val="en-US" w:eastAsia="zh-CN"/>
              </w:rPr>
              <w:t xml:space="preserve"> </w:t>
            </w:r>
            <w:r>
              <w:rPr>
                <w:rFonts w:hint="eastAsia" w:ascii="宋体" w:hAnsi="宋体"/>
                <w:color w:val="C00000"/>
                <w:szCs w:val="21"/>
                <w:lang w:val="en-US" w:eastAsia="zh-CN"/>
              </w:rPr>
              <w:t>亮度</w:t>
            </w:r>
          </w:p>
        </w:tc>
        <w:tc>
          <w:tcPr>
            <w:tcW w:w="2058" w:type="dxa"/>
            <w:noWrap w:val="0"/>
            <w:vAlign w:val="center"/>
          </w:tcPr>
          <w:p>
            <w:pPr>
              <w:jc w:val="center"/>
              <w:rPr>
                <w:rFonts w:hint="eastAsia" w:ascii="宋体" w:hAnsi="宋体"/>
                <w:color w:val="000000"/>
                <w:szCs w:val="21"/>
              </w:rPr>
            </w:pPr>
            <w:r>
              <w:rPr>
                <w:rFonts w:hint="default" w:ascii="宋体" w:hAnsi="宋体"/>
                <w:lang w:val="en-US" w:eastAsia="zh-CN"/>
              </w:rPr>
              <w:t>GB 21027-2020</w:t>
            </w:r>
          </w:p>
        </w:tc>
        <w:tc>
          <w:tcPr>
            <w:tcW w:w="1938" w:type="dxa"/>
            <w:noWrap w:val="0"/>
            <w:vAlign w:val="center"/>
          </w:tcPr>
          <w:p>
            <w:pPr>
              <w:snapToGrid w:val="0"/>
              <w:jc w:val="center"/>
              <w:rPr>
                <w:rFonts w:hint="eastAsia" w:ascii="宋体" w:hAnsi="宋体"/>
                <w:lang w:val="en-US" w:eastAsia="zh-CN"/>
              </w:rPr>
            </w:pPr>
            <w:r>
              <w:rPr>
                <w:rFonts w:hint="default" w:ascii="宋体" w:hAnsi="宋体"/>
                <w:lang w:val="en-US" w:eastAsia="zh-CN"/>
              </w:rPr>
              <w:t>GB/T 7974-2013</w:t>
            </w:r>
          </w:p>
        </w:tc>
        <w:tc>
          <w:tcPr>
            <w:tcW w:w="1200" w:type="dxa"/>
            <w:noWrap w:val="0"/>
            <w:vAlign w:val="center"/>
          </w:tcPr>
          <w:p>
            <w:pPr>
              <w:snapToGrid w:val="0"/>
              <w:jc w:val="center"/>
              <w:rPr>
                <w:rFonts w:hint="default" w:ascii="宋体" w:hAnsi="宋体"/>
                <w:lang w:val="en-US" w:eastAsia="zh-CN"/>
              </w:rPr>
            </w:pPr>
            <w:r>
              <w:rPr>
                <w:rFonts w:hint="eastAsia" w:ascii="宋体" w:hAnsi="宋体"/>
                <w:lang w:val="en-US" w:eastAsia="zh-CN"/>
              </w:rPr>
              <w:t>B</w:t>
            </w:r>
          </w:p>
        </w:tc>
        <w:tc>
          <w:tcPr>
            <w:tcW w:w="961" w:type="dxa"/>
            <w:noWrap w:val="0"/>
            <w:vAlign w:val="center"/>
          </w:tcPr>
          <w:p>
            <w:pPr>
              <w:snapToGrid w:val="0"/>
              <w:jc w:val="center"/>
              <w:rPr>
                <w:rFonts w:hint="eastAsia"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92" w:type="dxa"/>
            <w:gridSpan w:val="5"/>
            <w:noWrap w:val="0"/>
            <w:vAlign w:val="center"/>
          </w:tcPr>
          <w:p>
            <w:pPr>
              <w:snapToGrid w:val="0"/>
              <w:jc w:val="left"/>
              <w:rPr>
                <w:rFonts w:hint="default" w:ascii="宋体" w:hAnsi="宋体"/>
                <w:lang w:val="en-US" w:eastAsia="zh-CN"/>
              </w:rPr>
            </w:pPr>
            <w:r>
              <w:rPr>
                <w:rFonts w:hint="eastAsia" w:ascii="宋体" w:hAnsi="宋体"/>
                <w:color w:val="000000"/>
                <w:sz w:val="18"/>
                <w:szCs w:val="18"/>
              </w:rPr>
              <w:t>A为极重要质量项目  B为重要质量项目。</w:t>
            </w:r>
          </w:p>
        </w:tc>
        <w:tc>
          <w:tcPr>
            <w:tcW w:w="961" w:type="dxa"/>
            <w:noWrap w:val="0"/>
            <w:vAlign w:val="center"/>
          </w:tcPr>
          <w:p>
            <w:pPr>
              <w:snapToGrid w:val="0"/>
              <w:jc w:val="left"/>
              <w:rPr>
                <w:rFonts w:hint="eastAsia" w:ascii="宋体" w:hAnsi="宋体"/>
                <w:color w:val="000000"/>
                <w:sz w:val="18"/>
                <w:szCs w:val="18"/>
              </w:rPr>
            </w:pPr>
          </w:p>
        </w:tc>
      </w:tr>
    </w:tbl>
    <w:p>
      <w:pPr>
        <w:snapToGrid w:val="0"/>
        <w:spacing w:line="360" w:lineRule="auto"/>
        <w:ind w:firstLine="352" w:firstLineChars="196"/>
        <w:rPr>
          <w:rFonts w:hint="eastAsia" w:ascii="宋体" w:hAnsi="宋体"/>
          <w:color w:val="000000"/>
          <w:sz w:val="18"/>
          <w:szCs w:val="18"/>
        </w:rPr>
      </w:pPr>
      <w:r>
        <w:rPr>
          <w:rFonts w:hint="eastAsia" w:ascii="宋体" w:hAnsi="宋体"/>
          <w:color w:val="000000"/>
          <w:sz w:val="18"/>
          <w:szCs w:val="18"/>
        </w:rPr>
        <w:t>注：</w:t>
      </w:r>
    </w:p>
    <w:p>
      <w:pPr>
        <w:snapToGrid w:val="0"/>
        <w:spacing w:line="360" w:lineRule="auto"/>
        <w:ind w:firstLine="360" w:firstLineChars="200"/>
        <w:rPr>
          <w:rFonts w:ascii="宋体" w:hAnsi="宋体"/>
          <w:color w:val="000000"/>
          <w:sz w:val="18"/>
          <w:szCs w:val="18"/>
        </w:rPr>
      </w:pPr>
      <w:r>
        <w:rPr>
          <w:rFonts w:hint="eastAsia" w:ascii="宋体" w:hAnsi="宋体"/>
          <w:color w:val="000000"/>
          <w:sz w:val="18"/>
          <w:szCs w:val="18"/>
        </w:rPr>
        <w:t>①极重要质量项目是指涉及人体健康、使用安全的指标；重要质量项目是指产品涉及环保、能效、关键性能或特征值的指标。</w:t>
      </w:r>
    </w:p>
    <w:p>
      <w:pPr>
        <w:snapToGrid w:val="0"/>
        <w:spacing w:line="360" w:lineRule="auto"/>
        <w:ind w:firstLine="352" w:firstLineChars="196"/>
        <w:rPr>
          <w:rFonts w:ascii="宋体" w:hAnsi="宋体"/>
          <w:color w:val="000000"/>
          <w:sz w:val="18"/>
          <w:szCs w:val="18"/>
        </w:rPr>
      </w:pPr>
      <w:r>
        <w:rPr>
          <w:rFonts w:hint="eastAsia" w:ascii="宋体" w:hAnsi="宋体"/>
          <w:color w:val="000000"/>
          <w:sz w:val="18"/>
          <w:szCs w:val="18"/>
        </w:rPr>
        <w:t>②上表所列检验项目是有关法律法规、标准等规定的，重点涉及健康、安全、节能、环保以及消费者、有关组织反映有质量问题的重要项目。</w:t>
      </w:r>
    </w:p>
    <w:p>
      <w:pPr>
        <w:snapToGrid w:val="0"/>
        <w:spacing w:line="360" w:lineRule="auto"/>
        <w:rPr>
          <w:rFonts w:ascii="宋体" w:hAnsi="宋体"/>
          <w:color w:val="000000"/>
          <w:szCs w:val="21"/>
        </w:rPr>
      </w:pPr>
      <w:r>
        <w:rPr>
          <w:rFonts w:hint="eastAsia" w:ascii="宋体" w:hAnsi="宋体"/>
          <w:color w:val="000000"/>
          <w:szCs w:val="21"/>
        </w:rPr>
        <w:t>7.2 检验应注意的问题</w:t>
      </w:r>
    </w:p>
    <w:p>
      <w:pPr>
        <w:snapToGrid w:val="0"/>
        <w:spacing w:line="360" w:lineRule="auto"/>
        <w:ind w:firstLine="420" w:firstLineChars="200"/>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360" w:lineRule="auto"/>
        <w:ind w:firstLine="420" w:firstLineChars="200"/>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360" w:lineRule="auto"/>
        <w:ind w:firstLine="420" w:firstLineChars="200"/>
        <w:rPr>
          <w:rFonts w:ascii="宋体" w:hAnsi="宋体"/>
          <w:color w:val="000000"/>
          <w:szCs w:val="21"/>
        </w:rPr>
      </w:pPr>
      <w:r>
        <w:rPr>
          <w:rFonts w:hint="eastAsia" w:ascii="宋体" w:hAnsi="宋体"/>
          <w:color w:val="000000"/>
          <w:szCs w:val="21"/>
        </w:rPr>
        <w:t>若被检产品明示的质量要求低于或包含细则中检验项目依据的推荐性标准要求时，应以被检产品明示的质量要求判定。</w:t>
      </w:r>
    </w:p>
    <w:p>
      <w:pPr>
        <w:snapToGrid w:val="0"/>
        <w:spacing w:line="360" w:lineRule="auto"/>
        <w:ind w:firstLine="420" w:firstLineChars="200"/>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360" w:lineRule="auto"/>
        <w:ind w:firstLine="420" w:firstLineChars="200"/>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若被检产品明示的质量要求缺少本细则中检验项目依据的推荐性标准要求时，该项目不参与判定，但应在检验报告备注中进行说明。</w:t>
      </w:r>
    </w:p>
    <w:p>
      <w:pPr>
        <w:pStyle w:val="2"/>
        <w:adjustRightInd w:val="0"/>
        <w:snapToGrid w:val="0"/>
        <w:spacing w:line="360" w:lineRule="auto"/>
        <w:rPr>
          <w:rFonts w:ascii="黑体" w:hAnsi="黑体" w:eastAsia="黑体"/>
          <w:b/>
          <w:color w:val="000000"/>
          <w:szCs w:val="21"/>
        </w:rPr>
      </w:pPr>
      <w:r>
        <w:rPr>
          <w:rFonts w:hint="eastAsia" w:ascii="黑体" w:hAnsi="黑体" w:eastAsia="黑体"/>
          <w:b/>
          <w:color w:val="000000"/>
          <w:szCs w:val="21"/>
        </w:rPr>
        <w:t>8.判定原则</w:t>
      </w:r>
    </w:p>
    <w:p>
      <w:pPr>
        <w:pStyle w:val="2"/>
        <w:adjustRightInd w:val="0"/>
        <w:snapToGrid w:val="0"/>
        <w:spacing w:line="360" w:lineRule="auto"/>
        <w:rPr>
          <w:rFonts w:hAnsi="宋体"/>
          <w:color w:val="000000"/>
          <w:szCs w:val="21"/>
        </w:rPr>
      </w:pPr>
      <w:r>
        <w:rPr>
          <w:rFonts w:hint="eastAsia" w:hAnsi="宋体"/>
          <w:color w:val="000000"/>
          <w:szCs w:val="21"/>
        </w:rPr>
        <w:t>8.1 判定原则</w:t>
      </w:r>
    </w:p>
    <w:p>
      <w:pPr>
        <w:snapToGrid w:val="0"/>
        <w:spacing w:line="360" w:lineRule="auto"/>
        <w:ind w:firstLine="399" w:firstLineChars="190"/>
        <w:rPr>
          <w:rFonts w:hint="eastAsia"/>
        </w:rPr>
      </w:pPr>
      <w:r>
        <w:rPr>
          <w:rFonts w:hint="eastAsia"/>
        </w:rPr>
        <w:t>经检验，检验项目全部合格，判定为被抽查产品合格；检验项目中任一项或一项以上不合格，判定为被抽查产品不合格。其中，当产品存在A类项目不合格，属于严重不合格。</w:t>
      </w:r>
    </w:p>
    <w:p>
      <w:pPr>
        <w:snapToGrid w:val="0"/>
        <w:spacing w:line="360" w:lineRule="auto"/>
        <w:rPr>
          <w:rFonts w:hint="eastAsia"/>
        </w:rPr>
      </w:pPr>
      <w:r>
        <w:rPr>
          <w:rFonts w:hint="eastAsia"/>
        </w:rPr>
        <w:t>8.2</w:t>
      </w:r>
      <w:r>
        <w:rPr>
          <w:rFonts w:hint="eastAsia"/>
          <w:lang w:val="en-US" w:eastAsia="zh-CN"/>
        </w:rPr>
        <w:t>检验</w:t>
      </w:r>
      <w:r>
        <w:rPr>
          <w:rFonts w:hint="eastAsia"/>
        </w:rPr>
        <w:t>结论用语</w:t>
      </w:r>
    </w:p>
    <w:p>
      <w:pPr>
        <w:snapToGrid w:val="0"/>
        <w:spacing w:line="360" w:lineRule="auto"/>
        <w:ind w:firstLine="399" w:firstLineChars="190"/>
        <w:rPr>
          <w:rFonts w:hint="eastAsia"/>
        </w:rPr>
      </w:pPr>
      <w:r>
        <w:rPr>
          <w:rFonts w:hint="eastAsia"/>
          <w:lang w:val="en-US" w:eastAsia="zh-CN"/>
        </w:rPr>
        <w:t>1）</w:t>
      </w:r>
      <w:r>
        <w:rPr>
          <w:rFonts w:hint="eastAsia"/>
        </w:rPr>
        <w:t xml:space="preserve">经抽样检验， </w:t>
      </w:r>
      <w:r>
        <w:rPr>
          <w:rFonts w:hint="eastAsia"/>
        </w:rPr>
        <w:t>所检项目符合xxx</w:t>
      </w:r>
      <w:r>
        <w:rPr>
          <w:rFonts w:hint="eastAsia"/>
        </w:rPr>
        <w:t>标准要求，依据</w:t>
      </w:r>
      <w:r>
        <w:rPr>
          <w:rFonts w:hint="eastAsia"/>
          <w:lang w:val="en-US" w:eastAsia="zh-CN"/>
        </w:rPr>
        <w:t>PTSJDC-1018.01.</w:t>
      </w:r>
      <w:r>
        <w:rPr>
          <w:rFonts w:hint="eastAsia"/>
        </w:rPr>
        <w:t>20</w:t>
      </w:r>
      <w:r>
        <w:rPr>
          <w:rFonts w:hint="eastAsia"/>
          <w:lang w:val="en-US" w:eastAsia="zh-CN"/>
        </w:rPr>
        <w:t>23《课业簿册产品质量监督抽查实施细则》（或方案）</w:t>
      </w:r>
      <w:r>
        <w:rPr>
          <w:rFonts w:hint="eastAsia"/>
        </w:rPr>
        <w:t>，判定为合格；</w:t>
      </w:r>
    </w:p>
    <w:p>
      <w:pPr>
        <w:snapToGrid w:val="0"/>
        <w:spacing w:line="360" w:lineRule="auto"/>
        <w:ind w:firstLine="399" w:firstLineChars="190"/>
        <w:rPr>
          <w:rFonts w:hint="eastAsia"/>
        </w:rPr>
      </w:pPr>
      <w:r>
        <w:rPr>
          <w:rFonts w:hint="eastAsia"/>
          <w:lang w:val="en-US" w:eastAsia="zh-CN"/>
        </w:rPr>
        <w:t>2）</w:t>
      </w:r>
      <w:r>
        <w:rPr>
          <w:rFonts w:hint="eastAsia"/>
        </w:rPr>
        <w:t>经抽样检验， xxx、xxx、xxx项目不符合xxx标准要求，依据</w:t>
      </w:r>
      <w:r>
        <w:rPr>
          <w:rFonts w:hint="eastAsia"/>
          <w:lang w:val="en-US" w:eastAsia="zh-CN"/>
        </w:rPr>
        <w:t>PTSJDC-1018.01.</w:t>
      </w:r>
      <w:r>
        <w:rPr>
          <w:rFonts w:hint="eastAsia"/>
        </w:rPr>
        <w:t>20</w:t>
      </w:r>
      <w:r>
        <w:rPr>
          <w:rFonts w:hint="eastAsia"/>
          <w:lang w:val="en-US" w:eastAsia="zh-CN"/>
        </w:rPr>
        <w:t>23《课业簿册产品质量监督抽查实施细则》（或方案）</w:t>
      </w:r>
      <w:r>
        <w:rPr>
          <w:rFonts w:hint="eastAsia"/>
        </w:rPr>
        <w:t xml:space="preserve">，判定为不合格； </w:t>
      </w:r>
    </w:p>
    <w:p>
      <w:pPr>
        <w:snapToGrid w:val="0"/>
        <w:spacing w:line="360" w:lineRule="auto"/>
        <w:ind w:firstLine="399" w:firstLineChars="190"/>
        <w:rPr>
          <w:rFonts w:hint="eastAsia"/>
        </w:rPr>
      </w:pPr>
      <w:r>
        <w:rPr>
          <w:rFonts w:hint="eastAsia"/>
          <w:lang w:val="en-US" w:eastAsia="zh-CN"/>
        </w:rPr>
        <w:t>3）</w:t>
      </w:r>
      <w:r>
        <w:rPr>
          <w:rFonts w:hint="eastAsia"/>
        </w:rPr>
        <w:t>经抽样检验， xxx、xxx、xxx项目不符合xxx标准要求，依据</w:t>
      </w:r>
      <w:r>
        <w:rPr>
          <w:rFonts w:hint="eastAsia"/>
          <w:lang w:val="en-US" w:eastAsia="zh-CN"/>
        </w:rPr>
        <w:t>PTSJDC-1018.01.</w:t>
      </w:r>
      <w:r>
        <w:rPr>
          <w:rFonts w:hint="eastAsia"/>
        </w:rPr>
        <w:t>20</w:t>
      </w:r>
      <w:r>
        <w:rPr>
          <w:rFonts w:hint="eastAsia"/>
          <w:lang w:val="en-US" w:eastAsia="zh-CN"/>
        </w:rPr>
        <w:t>23《课业簿册产品质量监督抽查实施细则》（或方案）</w:t>
      </w:r>
      <w:r>
        <w:rPr>
          <w:rFonts w:hint="eastAsia"/>
        </w:rPr>
        <w:t>，判定为不合格，属于严重不合格。</w:t>
      </w:r>
    </w:p>
    <w:p>
      <w:pPr>
        <w:pStyle w:val="2"/>
        <w:adjustRightInd w:val="0"/>
        <w:snapToGrid w:val="0"/>
        <w:spacing w:line="360" w:lineRule="auto"/>
        <w:rPr>
          <w:rFonts w:ascii="黑体" w:hAnsi="黑体" w:eastAsia="黑体"/>
          <w:b/>
          <w:color w:val="000000"/>
          <w:szCs w:val="21"/>
        </w:rPr>
      </w:pPr>
      <w:r>
        <w:rPr>
          <w:rFonts w:hint="eastAsia" w:ascii="黑体" w:hAnsi="黑体" w:eastAsia="黑体"/>
          <w:b/>
          <w:color w:val="000000"/>
          <w:szCs w:val="21"/>
        </w:rPr>
        <w:t xml:space="preserve">9.异议处理原则 </w:t>
      </w:r>
    </w:p>
    <w:p>
      <w:pPr>
        <w:snapToGrid w:val="0"/>
        <w:spacing w:line="360" w:lineRule="auto"/>
        <w:ind w:firstLine="420" w:firstLineChars="200"/>
        <w:rPr>
          <w:rFonts w:ascii="宋体" w:hAnsi="宋体"/>
          <w:iCs/>
          <w:color w:val="000000"/>
          <w:szCs w:val="21"/>
        </w:rPr>
      </w:pPr>
      <w:r>
        <w:rPr>
          <w:rFonts w:hint="eastAsia" w:ascii="宋体" w:hAnsi="宋体"/>
          <w:iCs/>
          <w:color w:val="000000"/>
          <w:szCs w:val="21"/>
        </w:rPr>
        <w:t>对判定不合格产品进行异议处理时，按以下方式进行：</w:t>
      </w:r>
    </w:p>
    <w:p>
      <w:pPr>
        <w:snapToGrid w:val="0"/>
        <w:spacing w:line="360" w:lineRule="auto"/>
        <w:rPr>
          <w:rFonts w:ascii="宋体" w:hAnsi="宋体"/>
          <w:color w:val="000000"/>
          <w:szCs w:val="21"/>
        </w:rPr>
      </w:pPr>
      <w:r>
        <w:rPr>
          <w:rFonts w:hint="eastAsia" w:ascii="宋体" w:hAnsi="宋体"/>
          <w:color w:val="000000"/>
          <w:szCs w:val="21"/>
        </w:rPr>
        <w:t>9.1核查不合格项目相关证据，能够以记录（纸质记录或电子记录或影像记录）或与不合格项目相关联的其它质量数据等检验证据证明。</w:t>
      </w:r>
    </w:p>
    <w:p>
      <w:pPr>
        <w:snapToGrid w:val="0"/>
        <w:spacing w:line="360" w:lineRule="auto"/>
        <w:rPr>
          <w:rFonts w:ascii="宋体" w:hAnsi="Calibri" w:cs="宋体"/>
          <w:kern w:val="0"/>
          <w:szCs w:val="21"/>
        </w:rPr>
      </w:pPr>
      <w:r>
        <w:rPr>
          <w:rFonts w:hint="eastAsia" w:ascii="宋体" w:hAnsi="宋体"/>
          <w:color w:val="000000"/>
          <w:szCs w:val="21"/>
        </w:rPr>
        <w:t>9.2</w:t>
      </w:r>
      <w:r>
        <w:rPr>
          <w:rFonts w:hint="eastAsia" w:ascii="宋体" w:hAnsi="Calibri" w:cs="宋体"/>
          <w:kern w:val="0"/>
          <w:szCs w:val="21"/>
        </w:rPr>
        <w:t>对需要复检并具备检验条件的，处理企业异议的市场监督管理部门或者指定检验机构应当按原监督抽查方案对抽取的原样或备用样品组织复检，并出具检验报告。复检结论为最终结论。</w:t>
      </w:r>
    </w:p>
    <w:p>
      <w:pPr>
        <w:snapToGrid w:val="0"/>
        <w:spacing w:line="360" w:lineRule="auto"/>
        <w:rPr>
          <w:rFonts w:ascii="宋体" w:hAnsi="宋体"/>
          <w:color w:val="000000"/>
          <w:szCs w:val="21"/>
        </w:rPr>
      </w:pPr>
      <w:r>
        <w:rPr>
          <w:rFonts w:hint="eastAsia" w:ascii="宋体" w:hAnsi="宋体"/>
          <w:color w:val="000000"/>
          <w:szCs w:val="21"/>
        </w:rPr>
        <w:t>9.3  不予复检的情况</w:t>
      </w:r>
    </w:p>
    <w:p>
      <w:pPr>
        <w:snapToGrid w:val="0"/>
        <w:spacing w:line="360" w:lineRule="auto"/>
        <w:ind w:firstLine="210" w:firstLineChars="100"/>
        <w:rPr>
          <w:rFonts w:ascii="宋体" w:hAnsi="宋体"/>
          <w:color w:val="000000"/>
          <w:szCs w:val="21"/>
        </w:rPr>
      </w:pPr>
      <w:r>
        <w:rPr>
          <w:rFonts w:hint="eastAsia" w:ascii="宋体" w:hAnsi="宋体"/>
          <w:color w:val="000000"/>
          <w:szCs w:val="21"/>
        </w:rPr>
        <w:t>（1）</w:t>
      </w:r>
      <w:r>
        <w:rPr>
          <w:rFonts w:hint="eastAsia" w:hAnsi="宋体"/>
          <w:color w:val="000000"/>
          <w:szCs w:val="21"/>
        </w:rPr>
        <w:t>提出复检</w:t>
      </w:r>
      <w:bookmarkStart w:id="0" w:name="_GoBack"/>
      <w:bookmarkEnd w:id="0"/>
      <w:r>
        <w:rPr>
          <w:rFonts w:hint="eastAsia" w:hAnsi="宋体"/>
          <w:color w:val="000000"/>
          <w:szCs w:val="21"/>
        </w:rPr>
        <w:t>时，产品在正常贮存条件下已失效；</w:t>
      </w:r>
    </w:p>
    <w:p>
      <w:pPr>
        <w:snapToGrid w:val="0"/>
        <w:spacing w:line="360" w:lineRule="auto"/>
        <w:ind w:firstLine="210" w:firstLineChars="100"/>
        <w:rPr>
          <w:rFonts w:ascii="宋体" w:hAnsi="宋体"/>
          <w:color w:val="000000"/>
          <w:szCs w:val="21"/>
        </w:rPr>
      </w:pPr>
      <w:r>
        <w:rPr>
          <w:rFonts w:hint="eastAsia" w:ascii="宋体" w:hAnsi="宋体"/>
          <w:color w:val="000000"/>
          <w:szCs w:val="21"/>
        </w:rPr>
        <w:t>（2）法律、法规规定不得复检的其他情况。</w:t>
      </w:r>
    </w:p>
    <w:p>
      <w:pPr>
        <w:adjustRightInd w:val="0"/>
        <w:snapToGrid w:val="0"/>
        <w:spacing w:line="360" w:lineRule="auto"/>
        <w:rPr>
          <w:rFonts w:ascii="宋体" w:hAnsi="宋体"/>
          <w:color w:val="000000"/>
          <w:szCs w:val="21"/>
        </w:rPr>
      </w:pPr>
    </w:p>
    <w:sectPr>
      <w:footerReference r:id="rId5" w:type="default"/>
      <w:pgSz w:w="11906" w:h="16838"/>
      <w:pgMar w:top="1440" w:right="1083" w:bottom="1440" w:left="108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0" o:spid="_x0000_s205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k0YWQ1OGZkNTc3Y2EzYjQyOGE1ZDZmOTlhMmNkMDUifQ=="/>
  </w:docVars>
  <w:rsids>
    <w:rsidRoot w:val="0057735E"/>
    <w:rsid w:val="00000E89"/>
    <w:rsid w:val="00004265"/>
    <w:rsid w:val="00006A3F"/>
    <w:rsid w:val="000077F2"/>
    <w:rsid w:val="0001130B"/>
    <w:rsid w:val="00012DC6"/>
    <w:rsid w:val="00016D73"/>
    <w:rsid w:val="00022183"/>
    <w:rsid w:val="0002224D"/>
    <w:rsid w:val="000227DA"/>
    <w:rsid w:val="00027CDD"/>
    <w:rsid w:val="00030947"/>
    <w:rsid w:val="000312D3"/>
    <w:rsid w:val="0003232E"/>
    <w:rsid w:val="000417E0"/>
    <w:rsid w:val="00046768"/>
    <w:rsid w:val="000527EF"/>
    <w:rsid w:val="00053C27"/>
    <w:rsid w:val="00056504"/>
    <w:rsid w:val="00063037"/>
    <w:rsid w:val="00064365"/>
    <w:rsid w:val="00064EA2"/>
    <w:rsid w:val="00065DBA"/>
    <w:rsid w:val="000751C7"/>
    <w:rsid w:val="00082AA0"/>
    <w:rsid w:val="00086628"/>
    <w:rsid w:val="000A5374"/>
    <w:rsid w:val="000B19A0"/>
    <w:rsid w:val="000B1E0D"/>
    <w:rsid w:val="000B562E"/>
    <w:rsid w:val="000B7DD8"/>
    <w:rsid w:val="000C5B70"/>
    <w:rsid w:val="000E3DCA"/>
    <w:rsid w:val="000F47BE"/>
    <w:rsid w:val="00100980"/>
    <w:rsid w:val="00112F23"/>
    <w:rsid w:val="00114DBA"/>
    <w:rsid w:val="00120594"/>
    <w:rsid w:val="00121F27"/>
    <w:rsid w:val="001237A8"/>
    <w:rsid w:val="00130B36"/>
    <w:rsid w:val="0013710E"/>
    <w:rsid w:val="00137B64"/>
    <w:rsid w:val="001411E5"/>
    <w:rsid w:val="00142D11"/>
    <w:rsid w:val="0015249A"/>
    <w:rsid w:val="00153DE9"/>
    <w:rsid w:val="001543F3"/>
    <w:rsid w:val="00164DE0"/>
    <w:rsid w:val="0016532B"/>
    <w:rsid w:val="0016560F"/>
    <w:rsid w:val="00182B74"/>
    <w:rsid w:val="001935B1"/>
    <w:rsid w:val="0019552E"/>
    <w:rsid w:val="001B5481"/>
    <w:rsid w:val="001C41A2"/>
    <w:rsid w:val="001D2C5D"/>
    <w:rsid w:val="001D79A5"/>
    <w:rsid w:val="001F1572"/>
    <w:rsid w:val="001F3846"/>
    <w:rsid w:val="00202833"/>
    <w:rsid w:val="00205530"/>
    <w:rsid w:val="00205F0C"/>
    <w:rsid w:val="002107F1"/>
    <w:rsid w:val="00213C61"/>
    <w:rsid w:val="0022182F"/>
    <w:rsid w:val="00251933"/>
    <w:rsid w:val="00253210"/>
    <w:rsid w:val="00260B1C"/>
    <w:rsid w:val="002664D4"/>
    <w:rsid w:val="00272AC4"/>
    <w:rsid w:val="00280741"/>
    <w:rsid w:val="00287707"/>
    <w:rsid w:val="00294A15"/>
    <w:rsid w:val="002A4691"/>
    <w:rsid w:val="002A799F"/>
    <w:rsid w:val="002C5A54"/>
    <w:rsid w:val="002C68FD"/>
    <w:rsid w:val="002D0B3C"/>
    <w:rsid w:val="002D1D45"/>
    <w:rsid w:val="002D3242"/>
    <w:rsid w:val="002D63DF"/>
    <w:rsid w:val="002E25CE"/>
    <w:rsid w:val="002E6075"/>
    <w:rsid w:val="002F2E4E"/>
    <w:rsid w:val="00300EE9"/>
    <w:rsid w:val="00307EC2"/>
    <w:rsid w:val="00312EC3"/>
    <w:rsid w:val="00315628"/>
    <w:rsid w:val="003228EC"/>
    <w:rsid w:val="00340D3B"/>
    <w:rsid w:val="00342472"/>
    <w:rsid w:val="0034330B"/>
    <w:rsid w:val="00352B51"/>
    <w:rsid w:val="00357DEE"/>
    <w:rsid w:val="003634A4"/>
    <w:rsid w:val="00372FDF"/>
    <w:rsid w:val="00374C27"/>
    <w:rsid w:val="00374F0F"/>
    <w:rsid w:val="00390AA7"/>
    <w:rsid w:val="003A0BBE"/>
    <w:rsid w:val="003A30D8"/>
    <w:rsid w:val="003A399A"/>
    <w:rsid w:val="003B0BED"/>
    <w:rsid w:val="003B3C69"/>
    <w:rsid w:val="003B6D63"/>
    <w:rsid w:val="003B7712"/>
    <w:rsid w:val="003C1633"/>
    <w:rsid w:val="003C4261"/>
    <w:rsid w:val="003C7382"/>
    <w:rsid w:val="003D3F6D"/>
    <w:rsid w:val="003E7BC5"/>
    <w:rsid w:val="003F26C0"/>
    <w:rsid w:val="003F4598"/>
    <w:rsid w:val="003F5391"/>
    <w:rsid w:val="003F682E"/>
    <w:rsid w:val="004043F7"/>
    <w:rsid w:val="00405AAA"/>
    <w:rsid w:val="00423289"/>
    <w:rsid w:val="0043011F"/>
    <w:rsid w:val="00430A1F"/>
    <w:rsid w:val="004318E1"/>
    <w:rsid w:val="00452CB7"/>
    <w:rsid w:val="00453DF6"/>
    <w:rsid w:val="00454246"/>
    <w:rsid w:val="00457702"/>
    <w:rsid w:val="00492B99"/>
    <w:rsid w:val="004A0393"/>
    <w:rsid w:val="004A33CE"/>
    <w:rsid w:val="004A3BBF"/>
    <w:rsid w:val="004A7640"/>
    <w:rsid w:val="004B316A"/>
    <w:rsid w:val="004B57D7"/>
    <w:rsid w:val="004B5ABC"/>
    <w:rsid w:val="004C0C30"/>
    <w:rsid w:val="004C59DA"/>
    <w:rsid w:val="004D1912"/>
    <w:rsid w:val="004D4BDB"/>
    <w:rsid w:val="004E435D"/>
    <w:rsid w:val="005003AF"/>
    <w:rsid w:val="005176CE"/>
    <w:rsid w:val="00526C68"/>
    <w:rsid w:val="0053408B"/>
    <w:rsid w:val="00535A50"/>
    <w:rsid w:val="005472DA"/>
    <w:rsid w:val="00556700"/>
    <w:rsid w:val="00562DDA"/>
    <w:rsid w:val="00566215"/>
    <w:rsid w:val="005679EE"/>
    <w:rsid w:val="00572ABF"/>
    <w:rsid w:val="005772E6"/>
    <w:rsid w:val="0057735E"/>
    <w:rsid w:val="005873B1"/>
    <w:rsid w:val="0059073A"/>
    <w:rsid w:val="00592362"/>
    <w:rsid w:val="00592E9E"/>
    <w:rsid w:val="005A30C0"/>
    <w:rsid w:val="005A6BD2"/>
    <w:rsid w:val="005B4BE6"/>
    <w:rsid w:val="005B4EEB"/>
    <w:rsid w:val="005C2CA6"/>
    <w:rsid w:val="005D0632"/>
    <w:rsid w:val="005D07C0"/>
    <w:rsid w:val="005D12B2"/>
    <w:rsid w:val="005E5B81"/>
    <w:rsid w:val="005F6A69"/>
    <w:rsid w:val="005F7323"/>
    <w:rsid w:val="0060565E"/>
    <w:rsid w:val="006224BC"/>
    <w:rsid w:val="00624FB8"/>
    <w:rsid w:val="006303D1"/>
    <w:rsid w:val="00641456"/>
    <w:rsid w:val="0064175E"/>
    <w:rsid w:val="00642427"/>
    <w:rsid w:val="00654C49"/>
    <w:rsid w:val="006606A4"/>
    <w:rsid w:val="00662FA1"/>
    <w:rsid w:val="00667F89"/>
    <w:rsid w:val="00670DDC"/>
    <w:rsid w:val="006721EC"/>
    <w:rsid w:val="006756A2"/>
    <w:rsid w:val="00682A97"/>
    <w:rsid w:val="006832FD"/>
    <w:rsid w:val="00686774"/>
    <w:rsid w:val="00686CC5"/>
    <w:rsid w:val="00687E51"/>
    <w:rsid w:val="0069636B"/>
    <w:rsid w:val="006A452B"/>
    <w:rsid w:val="006A506D"/>
    <w:rsid w:val="006A5139"/>
    <w:rsid w:val="006A5CD5"/>
    <w:rsid w:val="006B0CDD"/>
    <w:rsid w:val="006B52DC"/>
    <w:rsid w:val="006D536E"/>
    <w:rsid w:val="006E0375"/>
    <w:rsid w:val="006E6C62"/>
    <w:rsid w:val="006F472D"/>
    <w:rsid w:val="006F652B"/>
    <w:rsid w:val="0070222F"/>
    <w:rsid w:val="00706C59"/>
    <w:rsid w:val="00720DC6"/>
    <w:rsid w:val="007304EE"/>
    <w:rsid w:val="00743A1F"/>
    <w:rsid w:val="00752BD6"/>
    <w:rsid w:val="00765BB6"/>
    <w:rsid w:val="00766965"/>
    <w:rsid w:val="007709C0"/>
    <w:rsid w:val="0077754B"/>
    <w:rsid w:val="00781C10"/>
    <w:rsid w:val="00791126"/>
    <w:rsid w:val="00796CE8"/>
    <w:rsid w:val="007A48AA"/>
    <w:rsid w:val="007A5674"/>
    <w:rsid w:val="007B0DE4"/>
    <w:rsid w:val="007C0B27"/>
    <w:rsid w:val="007C1F5E"/>
    <w:rsid w:val="007C7EB9"/>
    <w:rsid w:val="007E0D33"/>
    <w:rsid w:val="007E416B"/>
    <w:rsid w:val="00816031"/>
    <w:rsid w:val="00821056"/>
    <w:rsid w:val="0083245E"/>
    <w:rsid w:val="00843754"/>
    <w:rsid w:val="00845D20"/>
    <w:rsid w:val="008635BC"/>
    <w:rsid w:val="0086390B"/>
    <w:rsid w:val="00864E99"/>
    <w:rsid w:val="00871511"/>
    <w:rsid w:val="00895D5F"/>
    <w:rsid w:val="00897B13"/>
    <w:rsid w:val="008B11EA"/>
    <w:rsid w:val="008B2C2F"/>
    <w:rsid w:val="008B66A7"/>
    <w:rsid w:val="008C6AD9"/>
    <w:rsid w:val="008C7A56"/>
    <w:rsid w:val="008D4012"/>
    <w:rsid w:val="008D4AF3"/>
    <w:rsid w:val="008D4FEA"/>
    <w:rsid w:val="008E24E0"/>
    <w:rsid w:val="008E7765"/>
    <w:rsid w:val="008F0391"/>
    <w:rsid w:val="008F074A"/>
    <w:rsid w:val="008F18EE"/>
    <w:rsid w:val="008F298E"/>
    <w:rsid w:val="008F7CDF"/>
    <w:rsid w:val="00906E92"/>
    <w:rsid w:val="00910012"/>
    <w:rsid w:val="00922C27"/>
    <w:rsid w:val="0092750D"/>
    <w:rsid w:val="00927D46"/>
    <w:rsid w:val="00932BB2"/>
    <w:rsid w:val="00941652"/>
    <w:rsid w:val="009548E7"/>
    <w:rsid w:val="00960146"/>
    <w:rsid w:val="00964C20"/>
    <w:rsid w:val="00965F85"/>
    <w:rsid w:val="0096791C"/>
    <w:rsid w:val="00970641"/>
    <w:rsid w:val="00970720"/>
    <w:rsid w:val="009714DB"/>
    <w:rsid w:val="00975E2B"/>
    <w:rsid w:val="009845F5"/>
    <w:rsid w:val="0098607B"/>
    <w:rsid w:val="00994148"/>
    <w:rsid w:val="009947F1"/>
    <w:rsid w:val="009A2478"/>
    <w:rsid w:val="009A4E16"/>
    <w:rsid w:val="009A7AE3"/>
    <w:rsid w:val="009B0544"/>
    <w:rsid w:val="009C175E"/>
    <w:rsid w:val="009D7CA5"/>
    <w:rsid w:val="009F1C03"/>
    <w:rsid w:val="009F786E"/>
    <w:rsid w:val="00A06739"/>
    <w:rsid w:val="00A1372E"/>
    <w:rsid w:val="00A145B5"/>
    <w:rsid w:val="00A15AB4"/>
    <w:rsid w:val="00A21793"/>
    <w:rsid w:val="00A25386"/>
    <w:rsid w:val="00A30BE7"/>
    <w:rsid w:val="00A425C7"/>
    <w:rsid w:val="00A53425"/>
    <w:rsid w:val="00A66A88"/>
    <w:rsid w:val="00A730D7"/>
    <w:rsid w:val="00A74E73"/>
    <w:rsid w:val="00A777D3"/>
    <w:rsid w:val="00A8192A"/>
    <w:rsid w:val="00A84A38"/>
    <w:rsid w:val="00A8576C"/>
    <w:rsid w:val="00A929D5"/>
    <w:rsid w:val="00AA0975"/>
    <w:rsid w:val="00AA6DE4"/>
    <w:rsid w:val="00AB0454"/>
    <w:rsid w:val="00AB16C7"/>
    <w:rsid w:val="00AB1836"/>
    <w:rsid w:val="00AB5D19"/>
    <w:rsid w:val="00AD2C2A"/>
    <w:rsid w:val="00AD5D90"/>
    <w:rsid w:val="00AE1FE0"/>
    <w:rsid w:val="00AF4329"/>
    <w:rsid w:val="00B02768"/>
    <w:rsid w:val="00B0582D"/>
    <w:rsid w:val="00B1004D"/>
    <w:rsid w:val="00B24F21"/>
    <w:rsid w:val="00B34B27"/>
    <w:rsid w:val="00B36622"/>
    <w:rsid w:val="00B411F0"/>
    <w:rsid w:val="00B414FD"/>
    <w:rsid w:val="00B4728A"/>
    <w:rsid w:val="00B503EF"/>
    <w:rsid w:val="00B50704"/>
    <w:rsid w:val="00B5363E"/>
    <w:rsid w:val="00B666D6"/>
    <w:rsid w:val="00B70865"/>
    <w:rsid w:val="00B70C83"/>
    <w:rsid w:val="00B70F38"/>
    <w:rsid w:val="00B76E1D"/>
    <w:rsid w:val="00B847DB"/>
    <w:rsid w:val="00B93BA5"/>
    <w:rsid w:val="00BB3D94"/>
    <w:rsid w:val="00BC0058"/>
    <w:rsid w:val="00BC1884"/>
    <w:rsid w:val="00BC54FE"/>
    <w:rsid w:val="00BC6F59"/>
    <w:rsid w:val="00BD1F10"/>
    <w:rsid w:val="00BD749C"/>
    <w:rsid w:val="00BE33B7"/>
    <w:rsid w:val="00BE35CE"/>
    <w:rsid w:val="00BE71E8"/>
    <w:rsid w:val="00BE78DF"/>
    <w:rsid w:val="00BF17D2"/>
    <w:rsid w:val="00BF6081"/>
    <w:rsid w:val="00C04A77"/>
    <w:rsid w:val="00C175AD"/>
    <w:rsid w:val="00C2268E"/>
    <w:rsid w:val="00C31364"/>
    <w:rsid w:val="00C34404"/>
    <w:rsid w:val="00C41EDC"/>
    <w:rsid w:val="00C47D21"/>
    <w:rsid w:val="00C63E6B"/>
    <w:rsid w:val="00C95D2E"/>
    <w:rsid w:val="00CA7E90"/>
    <w:rsid w:val="00CB3A38"/>
    <w:rsid w:val="00CB5CB5"/>
    <w:rsid w:val="00CC0DC7"/>
    <w:rsid w:val="00CC25BD"/>
    <w:rsid w:val="00CC3B38"/>
    <w:rsid w:val="00CC4B26"/>
    <w:rsid w:val="00CD4F76"/>
    <w:rsid w:val="00CD6822"/>
    <w:rsid w:val="00CD7C1A"/>
    <w:rsid w:val="00CE1997"/>
    <w:rsid w:val="00CE4BC2"/>
    <w:rsid w:val="00CE5B5D"/>
    <w:rsid w:val="00CF00F9"/>
    <w:rsid w:val="00D04E93"/>
    <w:rsid w:val="00D23B86"/>
    <w:rsid w:val="00D308FF"/>
    <w:rsid w:val="00D35C61"/>
    <w:rsid w:val="00D408C0"/>
    <w:rsid w:val="00D50954"/>
    <w:rsid w:val="00D558B9"/>
    <w:rsid w:val="00D60BB1"/>
    <w:rsid w:val="00D60BC6"/>
    <w:rsid w:val="00D63C92"/>
    <w:rsid w:val="00D657E8"/>
    <w:rsid w:val="00D805DD"/>
    <w:rsid w:val="00D810A3"/>
    <w:rsid w:val="00D81BEB"/>
    <w:rsid w:val="00D85423"/>
    <w:rsid w:val="00D869D7"/>
    <w:rsid w:val="00D9088E"/>
    <w:rsid w:val="00D91868"/>
    <w:rsid w:val="00D93836"/>
    <w:rsid w:val="00DA70E7"/>
    <w:rsid w:val="00DB4FA3"/>
    <w:rsid w:val="00DC6794"/>
    <w:rsid w:val="00DE2A50"/>
    <w:rsid w:val="00DE437F"/>
    <w:rsid w:val="00DE634F"/>
    <w:rsid w:val="00DF3BA7"/>
    <w:rsid w:val="00DF5565"/>
    <w:rsid w:val="00E06AAC"/>
    <w:rsid w:val="00E13A63"/>
    <w:rsid w:val="00E21D73"/>
    <w:rsid w:val="00E3212C"/>
    <w:rsid w:val="00E332CD"/>
    <w:rsid w:val="00E37E3A"/>
    <w:rsid w:val="00E63770"/>
    <w:rsid w:val="00E6404C"/>
    <w:rsid w:val="00E67DF0"/>
    <w:rsid w:val="00E731AE"/>
    <w:rsid w:val="00E85CAB"/>
    <w:rsid w:val="00E93CD1"/>
    <w:rsid w:val="00E94F7B"/>
    <w:rsid w:val="00E97B2D"/>
    <w:rsid w:val="00EA1B32"/>
    <w:rsid w:val="00EA46E6"/>
    <w:rsid w:val="00EA588B"/>
    <w:rsid w:val="00EC076B"/>
    <w:rsid w:val="00EC0E12"/>
    <w:rsid w:val="00EC6E06"/>
    <w:rsid w:val="00ED2353"/>
    <w:rsid w:val="00ED7828"/>
    <w:rsid w:val="00EF4853"/>
    <w:rsid w:val="00F36537"/>
    <w:rsid w:val="00F475B4"/>
    <w:rsid w:val="00F5085E"/>
    <w:rsid w:val="00F557CD"/>
    <w:rsid w:val="00F608F7"/>
    <w:rsid w:val="00F73329"/>
    <w:rsid w:val="00F7415B"/>
    <w:rsid w:val="00F74E97"/>
    <w:rsid w:val="00F76EC2"/>
    <w:rsid w:val="00F96DC6"/>
    <w:rsid w:val="00F970C4"/>
    <w:rsid w:val="00FA68D3"/>
    <w:rsid w:val="00FC0F67"/>
    <w:rsid w:val="00FC469B"/>
    <w:rsid w:val="00FC51BE"/>
    <w:rsid w:val="00FD2043"/>
    <w:rsid w:val="00FE3150"/>
    <w:rsid w:val="00FF2176"/>
    <w:rsid w:val="00FF3970"/>
    <w:rsid w:val="087131AC"/>
    <w:rsid w:val="09541E7C"/>
    <w:rsid w:val="0BA31357"/>
    <w:rsid w:val="0C064AA9"/>
    <w:rsid w:val="1013171B"/>
    <w:rsid w:val="14A371AF"/>
    <w:rsid w:val="15300DBD"/>
    <w:rsid w:val="15DD324C"/>
    <w:rsid w:val="17A57019"/>
    <w:rsid w:val="17CD2437"/>
    <w:rsid w:val="19E25A34"/>
    <w:rsid w:val="1AC10A44"/>
    <w:rsid w:val="1AE4451F"/>
    <w:rsid w:val="1B0F2115"/>
    <w:rsid w:val="1C6E1CD0"/>
    <w:rsid w:val="1D8955B8"/>
    <w:rsid w:val="1E833925"/>
    <w:rsid w:val="20A64247"/>
    <w:rsid w:val="265A1D17"/>
    <w:rsid w:val="27B22190"/>
    <w:rsid w:val="29CC7E21"/>
    <w:rsid w:val="2B607D42"/>
    <w:rsid w:val="2C11608C"/>
    <w:rsid w:val="2D3F225D"/>
    <w:rsid w:val="2E8E47F9"/>
    <w:rsid w:val="2EB479AA"/>
    <w:rsid w:val="2FB84BFA"/>
    <w:rsid w:val="321C7414"/>
    <w:rsid w:val="332D0414"/>
    <w:rsid w:val="339D6A09"/>
    <w:rsid w:val="3D220586"/>
    <w:rsid w:val="3E0B73B4"/>
    <w:rsid w:val="3EB41665"/>
    <w:rsid w:val="40D50CDE"/>
    <w:rsid w:val="45017A74"/>
    <w:rsid w:val="470016FD"/>
    <w:rsid w:val="48BB7082"/>
    <w:rsid w:val="4AE05796"/>
    <w:rsid w:val="4CF21C76"/>
    <w:rsid w:val="4DE45A20"/>
    <w:rsid w:val="4E2D43D2"/>
    <w:rsid w:val="4E3D3105"/>
    <w:rsid w:val="4E6B1191"/>
    <w:rsid w:val="4EB93D8F"/>
    <w:rsid w:val="4F25780A"/>
    <w:rsid w:val="5348608E"/>
    <w:rsid w:val="5909022C"/>
    <w:rsid w:val="593B2C76"/>
    <w:rsid w:val="5A951CC2"/>
    <w:rsid w:val="5C894AEB"/>
    <w:rsid w:val="5CCA7A32"/>
    <w:rsid w:val="5E4D4620"/>
    <w:rsid w:val="5E7025B9"/>
    <w:rsid w:val="5EDF0B20"/>
    <w:rsid w:val="60D02B61"/>
    <w:rsid w:val="612004B6"/>
    <w:rsid w:val="619A28EC"/>
    <w:rsid w:val="63E33441"/>
    <w:rsid w:val="658C350E"/>
    <w:rsid w:val="66107001"/>
    <w:rsid w:val="677E0D30"/>
    <w:rsid w:val="68377D30"/>
    <w:rsid w:val="69D0038A"/>
    <w:rsid w:val="6A2D6ACD"/>
    <w:rsid w:val="6D6039E9"/>
    <w:rsid w:val="6D98654F"/>
    <w:rsid w:val="6E007AF7"/>
    <w:rsid w:val="6EFA3DE5"/>
    <w:rsid w:val="6F884343"/>
    <w:rsid w:val="71DD1BAD"/>
    <w:rsid w:val="75181D2C"/>
    <w:rsid w:val="75D914E0"/>
    <w:rsid w:val="773B2727"/>
    <w:rsid w:val="789770B4"/>
    <w:rsid w:val="79B52A7D"/>
    <w:rsid w:val="79D15180"/>
    <w:rsid w:val="7C324A4C"/>
    <w:rsid w:val="7C8024C8"/>
    <w:rsid w:val="7E042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link w:val="5"/>
    <w:qFormat/>
    <w:uiPriority w:val="0"/>
    <w:rPr>
      <w:kern w:val="2"/>
      <w:sz w:val="18"/>
      <w:szCs w:val="18"/>
    </w:rPr>
  </w:style>
  <w:style w:type="character" w:customStyle="1" w:styleId="10">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31"/>
    <customShpInfo spid="_x0000_s1030"/>
    <customShpInfo spid="_x0000_s103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FEEBB-B044-4FBB-89CC-85F7A21513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2039</Words>
  <Characters>2259</Characters>
  <Lines>19</Lines>
  <Paragraphs>5</Paragraphs>
  <TotalTime>0</TotalTime>
  <ScaleCrop>false</ScaleCrop>
  <LinksUpToDate>false</LinksUpToDate>
  <CharactersWithSpaces>2488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2015-12-17T01:50:00Z</dcterms:created>
  <dc:creator>xuhang</dc:creator>
  <cp:lastModifiedBy>CW002</cp:lastModifiedBy>
  <cp:lastPrinted>2015-12-11T07:43:00Z</cp:lastPrinted>
  <dcterms:modified xsi:type="dcterms:W3CDTF">2023-02-14T10:56:14Z</dcterms:modified>
  <dc:title>福建省产品质量监督抽查实施细则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B926F4FA5EE7483CA42E061D1B8E5962</vt:lpwstr>
  </property>
</Properties>
</file>