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莆田市市场监督管理局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莆市监处罚〔2025〕01080003号</w:t>
      </w:r>
    </w:p>
    <w:p>
      <w:pPr>
        <w:keepNext w:val="0"/>
        <w:keepLines w:val="0"/>
        <w:widowControl w:val="0"/>
        <w:suppressLineNumbers w:val="0"/>
        <w:spacing w:before="0" w:beforeAutospacing="0" w:after="0" w:afterAutospacing="0" w:line="520" w:lineRule="exact"/>
        <w:ind w:left="0" w:right="0"/>
        <w:jc w:val="both"/>
        <w:rPr>
          <w:rFonts w:hint="eastAsia" w:ascii="仿宋_GB2312" w:hAnsi="??" w:eastAsia="仿宋_GB2312" w:cs="Times New Roman"/>
          <w:sz w:val="32"/>
          <w:szCs w:val="32"/>
          <w:lang w:val="en-US"/>
        </w:rPr>
      </w:pPr>
      <w:r>
        <w:rPr>
          <w:rFonts w:hint="eastAsia" w:ascii="仿宋_GB2312" w:hAnsi="??" w:eastAsia="仿宋_GB2312" w:cs="仿宋_GB2312"/>
          <w:snapToGrid w:val="0"/>
          <w:color w:val="000000"/>
          <w:kern w:val="2"/>
          <w:sz w:val="32"/>
          <w:szCs w:val="32"/>
          <w:lang w:val="en-US" w:eastAsia="zh-CN" w:bidi="ar"/>
        </w:rPr>
        <w:t>当事人：黄加昇</w:t>
      </w:r>
    </w:p>
    <w:p>
      <w:pPr>
        <w:keepNext w:val="0"/>
        <w:keepLines w:val="0"/>
        <w:widowControl w:val="0"/>
        <w:suppressLineNumbers w:val="0"/>
        <w:spacing w:before="0" w:beforeAutospacing="0" w:after="0" w:afterAutospacing="0" w:line="520" w:lineRule="exact"/>
        <w:ind w:left="0" w:right="0"/>
        <w:jc w:val="both"/>
        <w:rPr>
          <w:rFonts w:hint="eastAsia" w:ascii="仿宋_GB2312" w:hAnsi="??" w:eastAsia="仿宋_GB2312" w:cs="仿宋_GB2312"/>
          <w:snapToGrid w:val="0"/>
          <w:color w:val="000000"/>
          <w:kern w:val="2"/>
          <w:sz w:val="32"/>
          <w:szCs w:val="32"/>
          <w:lang w:val="en-US" w:eastAsia="zh-CN" w:bidi="ar"/>
        </w:rPr>
      </w:pPr>
      <w:r>
        <w:rPr>
          <w:rFonts w:hint="eastAsia" w:ascii="仿宋_GB2312" w:hAnsi="仿宋_GB2312" w:eastAsia="仿宋_GB2312" w:cs="仿宋_GB2312"/>
          <w:snapToGrid w:val="0"/>
          <w:color w:val="000000"/>
          <w:kern w:val="2"/>
          <w:sz w:val="32"/>
          <w:szCs w:val="32"/>
          <w:lang w:val="en-US" w:eastAsia="zh-CN" w:bidi="ar"/>
        </w:rPr>
        <w:t>公民身份号码：</w:t>
      </w:r>
      <w:r>
        <w:rPr>
          <w:rFonts w:hint="eastAsia" w:ascii="仿宋_GB2312" w:hAnsi="??" w:eastAsia="仿宋_GB2312" w:cs="仿宋_GB2312"/>
          <w:snapToGrid w:val="0"/>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jc w:val="both"/>
        <w:rPr>
          <w:rFonts w:hint="default" w:ascii="仿宋_GB2312" w:hAnsi="仿宋_GB2312" w:eastAsia="仿宋_GB2312" w:cs="Times New Roman"/>
          <w:color w:val="000000"/>
          <w:sz w:val="32"/>
          <w:szCs w:val="32"/>
          <w:lang w:val="en-US"/>
        </w:rPr>
      </w:pPr>
      <w:bookmarkStart w:id="3" w:name="_GoBack"/>
      <w:bookmarkEnd w:id="3"/>
      <w:r>
        <w:rPr>
          <w:rFonts w:hint="eastAsia" w:ascii="仿宋_GB2312" w:hAnsi="??" w:eastAsia="仿宋_GB2312" w:cs="仿宋_GB2312"/>
          <w:snapToGrid w:val="0"/>
          <w:color w:val="000000"/>
          <w:kern w:val="2"/>
          <w:sz w:val="32"/>
          <w:szCs w:val="32"/>
          <w:lang w:val="en-US" w:eastAsia="zh-CN" w:bidi="ar"/>
        </w:rPr>
        <w:t>住址</w:t>
      </w:r>
      <w:r>
        <w:rPr>
          <w:rFonts w:hint="eastAsia" w:ascii="仿宋_GB2312" w:hAnsi="仿宋_GB2312" w:eastAsia="仿宋_GB2312" w:cs="仿宋_GB2312"/>
          <w:snapToGrid w:val="0"/>
          <w:color w:val="000000"/>
          <w:kern w:val="2"/>
          <w:sz w:val="32"/>
          <w:szCs w:val="32"/>
          <w:lang w:val="en-US" w:eastAsia="zh-CN" w:bidi="ar"/>
        </w:rPr>
        <w:t>：</w:t>
      </w:r>
      <w:r>
        <w:rPr>
          <w:rFonts w:hint="eastAsia" w:ascii="仿宋_GB2312" w:hAnsi="??" w:eastAsia="仿宋_GB2312" w:cs="仿宋_GB2312"/>
          <w:snapToGrid w:val="0"/>
          <w:color w:val="000000"/>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480" w:lineRule="exact"/>
        <w:ind w:left="0" w:right="0"/>
        <w:jc w:val="both"/>
        <w:textAlignment w:val="baseline"/>
        <w:rPr>
          <w:rFonts w:hint="eastAsia" w:ascii="仿宋_GB2312" w:hAnsi="??" w:eastAsia="仿宋_GB2312" w:cs="Times New Roman"/>
          <w:sz w:val="32"/>
          <w:szCs w:val="32"/>
          <w:vertAlign w:val="baseline"/>
          <w:lang w:val="en-US"/>
        </w:rPr>
      </w:pPr>
      <w:r>
        <w:rPr>
          <w:rFonts w:hint="eastAsia" w:ascii="仿宋_GB2312" w:hAnsi="仿宋_GB2312" w:eastAsia="仿宋_GB2312" w:cs="仿宋_GB2312"/>
          <w:snapToGrid w:val="0"/>
          <w:color w:val="000000"/>
          <w:kern w:val="2"/>
          <w:sz w:val="32"/>
          <w:szCs w:val="32"/>
          <w:vertAlign w:val="baseline"/>
          <w:lang w:val="en-US" w:eastAsia="zh-CN" w:bidi="ar"/>
        </w:rPr>
        <w:t>联系电话：</w:t>
      </w:r>
      <w:r>
        <w:rPr>
          <w:rFonts w:hint="eastAsia" w:ascii="仿宋_GB2312" w:hAnsi="??" w:eastAsia="仿宋_GB2312" w:cs="仿宋_GB2312"/>
          <w:snapToGrid w:val="0"/>
          <w:color w:val="000000"/>
          <w:kern w:val="2"/>
          <w:sz w:val="32"/>
          <w:szCs w:val="32"/>
          <w:vertAlign w:val="baseline"/>
          <w:lang w:val="en-US" w:eastAsia="zh-CN" w:bidi="ar"/>
        </w:rPr>
        <w:t xml:space="preserve"> </w:t>
      </w:r>
    </w:p>
    <w:p>
      <w:pPr>
        <w:keepNext w:val="0"/>
        <w:keepLines w:val="0"/>
        <w:widowControl w:val="0"/>
        <w:suppressLineNumbers w:val="0"/>
        <w:adjustRightInd w:val="0"/>
        <w:spacing w:before="0" w:beforeAutospacing="0" w:after="0" w:afterAutospacing="0" w:line="480" w:lineRule="exact"/>
        <w:ind w:left="0" w:right="0" w:firstLine="640" w:firstLineChars="200"/>
        <w:jc w:val="both"/>
        <w:textAlignment w:val="baseline"/>
        <w:rPr>
          <w:rFonts w:hint="eastAsia" w:ascii="仿宋" w:hAnsi="仿宋" w:eastAsia="仿宋" w:cs="Times New Roman"/>
          <w:sz w:val="32"/>
          <w:szCs w:val="32"/>
          <w:vertAlign w:val="baseline"/>
          <w:lang w:val="en-US"/>
        </w:rPr>
      </w:pPr>
      <w:r>
        <w:rPr>
          <w:rFonts w:hint="eastAsia" w:ascii="仿宋" w:hAnsi="仿宋" w:eastAsia="仿宋" w:cs="仿宋"/>
          <w:snapToGrid w:val="0"/>
          <w:color w:val="000000"/>
          <w:kern w:val="2"/>
          <w:sz w:val="32"/>
          <w:szCs w:val="32"/>
          <w:vertAlign w:val="baseline"/>
          <w:lang w:val="en-US" w:eastAsia="zh-CN" w:bidi="ar"/>
        </w:rPr>
        <w:t>2025年01月03日晚，莆田市公安局龙桥派出所民警在城厢区龙桥街道圳湖华苑附近1365号福购超市2楼查获当事人黄加昇用于销售的假冒的“耐克勾形”注册商标鞋8双，“美国飞人乔丹”图形注册商标鞋28双，于2025年01月04日现交本局调查处理。当事人的行为涉嫌违反了《中华人民共和国商标法》的相关规定，依据《市场监督管理行政处罚程序规定》第十八、十九条的规定，本局予以立案调查。</w:t>
      </w:r>
    </w:p>
    <w:p>
      <w:pPr>
        <w:keepNext w:val="0"/>
        <w:keepLines w:val="0"/>
        <w:widowControl w:val="0"/>
        <w:suppressLineNumbers w:val="0"/>
        <w:adjustRightInd w:val="0"/>
        <w:spacing w:before="0" w:beforeAutospacing="0" w:after="0" w:afterAutospacing="0" w:line="480" w:lineRule="exact"/>
        <w:ind w:left="0" w:right="0" w:firstLine="640" w:firstLineChars="200"/>
        <w:jc w:val="both"/>
        <w:textAlignment w:val="baseline"/>
        <w:rPr>
          <w:rFonts w:hint="eastAsia" w:ascii="仿宋" w:hAnsi="仿宋" w:eastAsia="仿宋" w:cs="Times New Roman"/>
          <w:sz w:val="32"/>
          <w:szCs w:val="32"/>
          <w:vertAlign w:val="baseline"/>
          <w:lang w:val="en-US"/>
        </w:rPr>
      </w:pPr>
      <w:r>
        <w:rPr>
          <w:rFonts w:hint="eastAsia" w:ascii="仿宋" w:hAnsi="仿宋" w:eastAsia="仿宋" w:cs="仿宋"/>
          <w:snapToGrid w:val="0"/>
          <w:color w:val="000000"/>
          <w:kern w:val="2"/>
          <w:sz w:val="32"/>
          <w:szCs w:val="32"/>
          <w:vertAlign w:val="baseline"/>
          <w:lang w:val="en-US" w:eastAsia="zh-CN" w:bidi="ar"/>
        </w:rPr>
        <w:t>2025年01月04日，执法人员依据《中华人民共和国商标法》第六十二条第一款第(四)项规定，报经局领导批准，向当事人送达《莆田市市场监督管理局实施行政强制措施决定书》（编号：莆市监执强字[2025]02001号），对当事人销售的假冒“耐克勾形”注册商标鞋8双，“美国飞人乔丹”图形注册商标鞋28双予以扣押。</w:t>
      </w:r>
    </w:p>
    <w:p>
      <w:pPr>
        <w:keepNext w:val="0"/>
        <w:keepLines w:val="0"/>
        <w:widowControl w:val="0"/>
        <w:suppressLineNumbers w:val="0"/>
        <w:adjustRightInd w:val="0"/>
        <w:spacing w:before="0" w:beforeAutospacing="0" w:after="0" w:afterAutospacing="0" w:line="480" w:lineRule="exact"/>
        <w:ind w:left="0" w:right="0" w:firstLine="640" w:firstLineChars="200"/>
        <w:jc w:val="both"/>
        <w:textAlignment w:val="baseline"/>
        <w:rPr>
          <w:rFonts w:hint="eastAsia" w:ascii="仿宋" w:hAnsi="仿宋" w:eastAsia="仿宋" w:cs="Times New Roman"/>
          <w:sz w:val="32"/>
          <w:szCs w:val="32"/>
          <w:vertAlign w:val="baseline"/>
          <w:lang w:val="en-US"/>
        </w:rPr>
      </w:pPr>
      <w:r>
        <w:rPr>
          <w:rFonts w:hint="eastAsia" w:ascii="仿宋" w:hAnsi="仿宋" w:eastAsia="仿宋" w:cs="仿宋"/>
          <w:snapToGrid w:val="0"/>
          <w:color w:val="000000"/>
          <w:kern w:val="2"/>
          <w:sz w:val="32"/>
          <w:szCs w:val="32"/>
          <w:vertAlign w:val="baseline"/>
          <w:lang w:val="en-US" w:eastAsia="zh-CN" w:bidi="ar"/>
        </w:rPr>
        <w:t>经查明，当事人于2025年01月01日晚在莆田市荔城区西庚小区侧门路边以每双55元的价格购进8双假冒的“耐克勾形”注册商标鞋8双、以每双58元购进28双假冒的“美国飞人乔丹”图形注册商标鞋。“耐克勾形”注册商标鞋准备以每双85元，“美国飞人乔丹”图形注册商标鞋准备以每双90元对外销售。当事人案涉侵权商品尚未售出于2025年1月3日晚摆摊时被龙桥派出所民警查扣，并于2025年1月4日移交本局调查处理。综上，当事人销售侵犯注册商标专用权商品违法经营共计3200元。</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仿宋_GB2312" w:eastAsia="仿宋_GB2312" w:cs="Times New Roman"/>
          <w:color w:val="000000"/>
          <w:sz w:val="32"/>
          <w:szCs w:val="32"/>
          <w:lang w:val="en-US"/>
        </w:rPr>
      </w:pPr>
      <w:r>
        <w:rPr>
          <w:rFonts w:hint="eastAsia" w:ascii="仿宋_GB2312" w:hAnsi="仿宋_GB2312" w:eastAsia="仿宋_GB2312" w:cs="仿宋_GB2312"/>
          <w:snapToGrid w:val="0"/>
          <w:color w:val="000000"/>
          <w:kern w:val="2"/>
          <w:sz w:val="32"/>
          <w:szCs w:val="32"/>
          <w:lang w:val="en-US" w:eastAsia="zh-CN" w:bidi="ar"/>
        </w:rPr>
        <w:t>上述事实，主要有以下证据证明：</w:t>
      </w:r>
      <w:r>
        <w:rPr>
          <w:rFonts w:hint="eastAsia" w:ascii="仿宋" w:hAnsi="仿宋" w:eastAsia="仿宋" w:cs="仿宋"/>
          <w:snapToGrid w:val="0"/>
          <w:color w:val="000000"/>
          <w:kern w:val="2"/>
          <w:sz w:val="32"/>
          <w:szCs w:val="32"/>
          <w:lang w:val="en-US" w:eastAsia="zh-CN" w:bidi="ar"/>
        </w:rPr>
        <w:t>现场检查笔录1份</w:t>
      </w:r>
      <w:r>
        <w:rPr>
          <w:rFonts w:hint="eastAsia" w:ascii="仿宋_GB2312" w:hAnsi="仿宋_GB2312" w:eastAsia="仿宋_GB2312" w:cs="仿宋_GB2312"/>
          <w:snapToGrid w:val="0"/>
          <w:color w:val="000000"/>
          <w:kern w:val="2"/>
          <w:sz w:val="32"/>
          <w:szCs w:val="32"/>
          <w:lang w:val="en-US" w:eastAsia="zh-CN" w:bidi="ar"/>
        </w:rPr>
        <w:t>、</w:t>
      </w:r>
      <w:r>
        <w:rPr>
          <w:rFonts w:hint="eastAsia" w:ascii="仿宋" w:hAnsi="仿宋" w:eastAsia="仿宋" w:cs="仿宋"/>
          <w:snapToGrid w:val="0"/>
          <w:color w:val="000000"/>
          <w:kern w:val="2"/>
          <w:sz w:val="32"/>
          <w:szCs w:val="32"/>
          <w:lang w:val="en-US" w:eastAsia="zh-CN" w:bidi="ar"/>
        </w:rPr>
        <w:t>询问笔录1份、当事人身份证复印件及授权委托书各1份</w:t>
      </w:r>
      <w:r>
        <w:rPr>
          <w:rFonts w:hint="eastAsia" w:ascii="仿宋_GB2312" w:hAnsi="仿宋_GB2312" w:eastAsia="仿宋_GB2312" w:cs="仿宋_GB2312"/>
          <w:snapToGrid w:val="0"/>
          <w:color w:val="000000"/>
          <w:kern w:val="2"/>
          <w:sz w:val="32"/>
          <w:szCs w:val="32"/>
          <w:lang w:val="en-US" w:eastAsia="zh-CN" w:bidi="ar"/>
        </w:rPr>
        <w:t>、</w:t>
      </w:r>
      <w:r>
        <w:rPr>
          <w:rFonts w:hint="eastAsia" w:ascii="仿宋" w:hAnsi="仿宋" w:eastAsia="仿宋" w:cs="仿宋"/>
          <w:snapToGrid w:val="0"/>
          <w:color w:val="000000"/>
          <w:kern w:val="2"/>
          <w:sz w:val="32"/>
          <w:szCs w:val="32"/>
          <w:lang w:val="en-US" w:eastAsia="zh-CN" w:bidi="ar"/>
        </w:rPr>
        <w:t>现场检查图片4张</w:t>
      </w:r>
      <w:r>
        <w:rPr>
          <w:rFonts w:hint="eastAsia" w:ascii="仿宋_GB2312" w:hAnsi="仿宋_GB2312" w:eastAsia="仿宋_GB2312" w:cs="仿宋_GB2312"/>
          <w:snapToGrid w:val="0"/>
          <w:color w:val="000000"/>
          <w:kern w:val="2"/>
          <w:sz w:val="32"/>
          <w:szCs w:val="32"/>
          <w:lang w:val="en-US" w:eastAsia="zh-CN" w:bidi="ar"/>
        </w:rPr>
        <w:t>、</w:t>
      </w:r>
      <w:r>
        <w:rPr>
          <w:rFonts w:hint="eastAsia" w:ascii="仿宋" w:hAnsi="仿宋" w:eastAsia="仿宋" w:cs="仿宋"/>
          <w:snapToGrid w:val="0"/>
          <w:color w:val="000000"/>
          <w:kern w:val="2"/>
          <w:sz w:val="32"/>
          <w:szCs w:val="32"/>
          <w:lang w:val="en-US" w:eastAsia="zh-CN" w:bidi="ar"/>
        </w:rPr>
        <w:t>“耐克勾形”商标注册证复印件及“美国飞人乔丹”商标信息打印件各1份</w:t>
      </w:r>
      <w:r>
        <w:rPr>
          <w:rFonts w:hint="eastAsia" w:ascii="仿宋_GB2312" w:hAnsi="仿宋_GB2312" w:eastAsia="仿宋_GB2312" w:cs="仿宋_GB2312"/>
          <w:snapToGrid w:val="0"/>
          <w:color w:val="000000"/>
          <w:kern w:val="2"/>
          <w:sz w:val="32"/>
          <w:szCs w:val="32"/>
          <w:lang w:val="en-US" w:eastAsia="zh-CN" w:bidi="ar"/>
        </w:rPr>
        <w:t>等。</w:t>
      </w:r>
    </w:p>
    <w:p>
      <w:pPr>
        <w:keepNext w:val="0"/>
        <w:keepLines w:val="0"/>
        <w:widowControl w:val="0"/>
        <w:suppressLineNumbers w:val="0"/>
        <w:adjustRightInd w:val="0"/>
        <w:spacing w:before="0" w:beforeAutospacing="0" w:after="0" w:afterAutospacing="0" w:line="520" w:lineRule="exact"/>
        <w:ind w:left="0" w:right="0" w:firstLine="640" w:firstLineChars="200"/>
        <w:jc w:val="both"/>
        <w:textAlignment w:val="baseline"/>
        <w:rPr>
          <w:rFonts w:hint="eastAsia" w:ascii="仿宋_GB2312" w:hAnsi="仿宋_GB2312" w:eastAsia="仿宋_GB2312" w:cs="Times New Roman"/>
          <w:color w:val="000000"/>
          <w:sz w:val="32"/>
          <w:szCs w:val="32"/>
          <w:vertAlign w:val="baseline"/>
          <w:lang w:val="en-US"/>
        </w:rPr>
      </w:pPr>
      <w:r>
        <w:rPr>
          <w:rFonts w:hint="eastAsia" w:ascii="仿宋_GB2312" w:hAnsi="仿宋_GB2312" w:eastAsia="仿宋_GB2312" w:cs="仿宋_GB2312"/>
          <w:snapToGrid w:val="0"/>
          <w:color w:val="000000"/>
          <w:kern w:val="2"/>
          <w:sz w:val="32"/>
          <w:szCs w:val="32"/>
          <w:vertAlign w:val="baseline"/>
          <w:lang w:val="en-US" w:eastAsia="zh-CN" w:bidi="ar"/>
        </w:rPr>
        <w:t>本局于2025年5月14日向当事人依法送达了《莆田市市场监督管理局行政处罚告知书》（莆市监罚告〔2025〕</w:t>
      </w:r>
      <w:r>
        <w:rPr>
          <w:rFonts w:hint="eastAsia" w:ascii="仿宋" w:hAnsi="仿宋" w:eastAsia="仿宋" w:cs="仿宋"/>
          <w:snapToGrid w:val="0"/>
          <w:color w:val="000000"/>
          <w:spacing w:val="-3"/>
          <w:kern w:val="2"/>
          <w:sz w:val="32"/>
          <w:szCs w:val="32"/>
          <w:vertAlign w:val="baseline"/>
          <w:lang w:val="en-US" w:eastAsia="zh-CN" w:bidi="ar"/>
        </w:rPr>
        <w:t>01080003</w:t>
      </w:r>
      <w:r>
        <w:rPr>
          <w:rFonts w:hint="eastAsia" w:ascii="仿宋_GB2312" w:hAnsi="仿宋_GB2312" w:eastAsia="仿宋_GB2312" w:cs="仿宋_GB2312"/>
          <w:snapToGrid w:val="0"/>
          <w:color w:val="000000"/>
          <w:kern w:val="2"/>
          <w:sz w:val="32"/>
          <w:szCs w:val="32"/>
          <w:vertAlign w:val="baseline"/>
          <w:lang w:val="en-US" w:eastAsia="zh-CN" w:bidi="ar"/>
        </w:rPr>
        <w:t>号），告知当事人拟作出行政处罚的事实、理由、依据、处罚内容及其依法享有陈述、申辩和要求举行听证的的权利。当事人在收到本通知之日起五个工作日内，没有向本局提出陈述、申辩和听证要求的，本局视为当事人放弃此权利。</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仿宋" w:cs="Times New Roman"/>
          <w:sz w:val="32"/>
          <w:szCs w:val="32"/>
          <w:lang w:val="en-US"/>
        </w:rPr>
      </w:pPr>
      <w:r>
        <w:rPr>
          <w:rFonts w:hint="eastAsia" w:ascii="仿宋_GB2312" w:hAnsi="仿宋_GB2312" w:eastAsia="仿宋_GB2312" w:cs="仿宋_GB2312"/>
          <w:snapToGrid w:val="0"/>
          <w:color w:val="000000"/>
          <w:kern w:val="2"/>
          <w:sz w:val="32"/>
          <w:szCs w:val="32"/>
          <w:lang w:val="en-US" w:eastAsia="zh-CN" w:bidi="ar"/>
        </w:rPr>
        <w:t>本局认为，</w:t>
      </w:r>
      <w:r>
        <w:rPr>
          <w:rFonts w:hint="eastAsia" w:ascii="仿宋" w:hAnsi="仿宋" w:eastAsia="仿宋" w:cs="仿宋"/>
          <w:snapToGrid w:val="0"/>
          <w:color w:val="000000"/>
          <w:kern w:val="2"/>
          <w:sz w:val="32"/>
          <w:szCs w:val="32"/>
          <w:lang w:val="en-US" w:eastAsia="zh-CN" w:bidi="ar"/>
        </w:rPr>
        <w:t>当事人的上述行为，依据《中华人民共和国商标法》第五十七条第（三）项的规定，属于销售侵犯注册商标专用权商品的违法行为。</w:t>
      </w:r>
    </w:p>
    <w:p>
      <w:pPr>
        <w:keepNext w:val="0"/>
        <w:keepLines w:val="0"/>
        <w:widowControl w:val="0"/>
        <w:suppressLineNumbers w:val="0"/>
        <w:autoSpaceDE w:val="0"/>
        <w:autoSpaceDN/>
        <w:adjustRightInd w:val="0"/>
        <w:spacing w:before="0" w:beforeAutospacing="0" w:after="0" w:afterAutospacing="0" w:line="520" w:lineRule="exact"/>
        <w:ind w:left="0" w:right="0" w:firstLine="640" w:firstLineChars="200"/>
        <w:jc w:val="both"/>
        <w:textAlignment w:val="baseline"/>
        <w:rPr>
          <w:rFonts w:hint="eastAsia" w:ascii="仿宋_GB2312" w:hAnsi="仿宋_GB2312" w:eastAsia="仿宋_GB2312" w:cs="Times New Roman"/>
          <w:color w:val="000000"/>
          <w:sz w:val="32"/>
          <w:szCs w:val="32"/>
          <w:vertAlign w:val="baseline"/>
          <w:lang w:val="en-US"/>
        </w:rPr>
      </w:pPr>
      <w:r>
        <w:rPr>
          <w:rFonts w:hint="eastAsia" w:ascii="仿宋_GB2312" w:hAnsi="仿宋_GB2312" w:eastAsia="仿宋_GB2312" w:cs="仿宋_GB2312"/>
          <w:snapToGrid w:val="0"/>
          <w:color w:val="000000"/>
          <w:kern w:val="2"/>
          <w:sz w:val="32"/>
          <w:szCs w:val="32"/>
          <w:vertAlign w:val="baseline"/>
          <w:lang w:val="en-US" w:eastAsia="zh-CN" w:bidi="ar"/>
        </w:rPr>
        <w:t>鉴于当事人商标侵权违法行为，具有从轻处罚的情形，本局予以从轻处罚。</w:t>
      </w:r>
    </w:p>
    <w:p>
      <w:pPr>
        <w:keepNext w:val="0"/>
        <w:keepLines w:val="0"/>
        <w:widowControl w:val="0"/>
        <w:suppressLineNumbers w:val="0"/>
        <w:adjustRightInd w:val="0"/>
        <w:spacing w:before="0" w:beforeAutospacing="0" w:after="0" w:afterAutospacing="0" w:line="520" w:lineRule="exact"/>
        <w:ind w:left="0" w:right="0" w:firstLine="640" w:firstLineChars="200"/>
        <w:jc w:val="both"/>
        <w:textAlignment w:val="baseline"/>
        <w:rPr>
          <w:rFonts w:hint="eastAsia" w:ascii="仿宋_GB2312" w:hAnsi="仿宋_GB2312" w:eastAsia="仿宋_GB2312" w:cs="Times New Roman"/>
          <w:color w:val="000000"/>
          <w:sz w:val="32"/>
          <w:szCs w:val="32"/>
          <w:vertAlign w:val="baseline"/>
          <w:lang w:val="en-US"/>
        </w:rPr>
      </w:pPr>
      <w:r>
        <w:rPr>
          <w:rFonts w:hint="eastAsia" w:ascii="仿宋_GB2312" w:hAnsi="仿宋_GB2312" w:eastAsia="仿宋_GB2312" w:cs="仿宋_GB2312"/>
          <w:snapToGrid w:val="0"/>
          <w:color w:val="000000"/>
          <w:kern w:val="2"/>
          <w:sz w:val="32"/>
          <w:szCs w:val="32"/>
          <w:vertAlign w:val="baseline"/>
          <w:lang w:val="en-US" w:eastAsia="zh-CN" w:bidi="ar"/>
        </w:rPr>
        <w:t>依据《中华人民共和国商标法》第六十条第二款的规定，本局决定对当事人作如下行政处罚：</w:t>
      </w:r>
    </w:p>
    <w:p>
      <w:pPr>
        <w:keepNext w:val="0"/>
        <w:keepLines w:val="0"/>
        <w:widowControl w:val="0"/>
        <w:suppressLineNumbers w:val="0"/>
        <w:adjustRightInd w:val="0"/>
        <w:spacing w:before="0" w:beforeAutospacing="0" w:after="0" w:afterAutospacing="0" w:line="480" w:lineRule="exact"/>
        <w:ind w:left="0" w:right="0" w:firstLine="640" w:firstLineChars="200"/>
        <w:jc w:val="both"/>
        <w:textAlignment w:val="baseline"/>
        <w:rPr>
          <w:rFonts w:hint="eastAsia" w:ascii="仿宋" w:hAnsi="仿宋" w:eastAsia="仿宋" w:cs="Times New Roman"/>
          <w:sz w:val="32"/>
          <w:szCs w:val="32"/>
          <w:vertAlign w:val="baseline"/>
          <w:lang w:val="en-US"/>
        </w:rPr>
      </w:pPr>
      <w:r>
        <w:rPr>
          <w:rFonts w:hint="eastAsia" w:ascii="仿宋" w:hAnsi="仿宋" w:eastAsia="仿宋" w:cs="仿宋"/>
          <w:snapToGrid w:val="0"/>
          <w:color w:val="000000"/>
          <w:kern w:val="2"/>
          <w:sz w:val="32"/>
          <w:szCs w:val="32"/>
          <w:vertAlign w:val="baseline"/>
          <w:lang w:val="en-US" w:eastAsia="zh-CN" w:bidi="ar"/>
        </w:rPr>
        <w:t>责令当事人立即停止商标侵权的违法行为，没收涉案的“耐克勾形”注册商标鞋8双，“美国飞人乔丹”图形注册商标鞋28双，并处罚款人民币36400元，上缴国库。</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仿宋_GB2312" w:eastAsia="仿宋_GB2312" w:cs="Times New Roman"/>
          <w:color w:val="000000"/>
          <w:sz w:val="32"/>
          <w:szCs w:val="32"/>
          <w:lang w:val="en-US"/>
        </w:rPr>
      </w:pPr>
      <w:r>
        <w:rPr>
          <w:rFonts w:hint="eastAsia" w:ascii="仿宋_GB2312" w:hAnsi="仿宋_GB2312" w:eastAsia="仿宋_GB2312" w:cs="仿宋_GB2312"/>
          <w:snapToGrid w:val="0"/>
          <w:color w:val="000000"/>
          <w:kern w:val="2"/>
          <w:sz w:val="32"/>
          <w:szCs w:val="32"/>
          <w:lang w:val="en-US" w:eastAsia="zh-CN" w:bidi="ar"/>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七十二条第一款第（一）项的规定，每日按罚款数额的百分之三加处罚款。</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仿宋_GB2312" w:eastAsia="仿宋_GB2312" w:cs="Times New Roman"/>
          <w:color w:val="000000"/>
          <w:sz w:val="32"/>
          <w:szCs w:val="32"/>
          <w:lang w:val="en-US"/>
        </w:rPr>
      </w:pPr>
      <w:r>
        <w:rPr>
          <w:rFonts w:hint="eastAsia" w:ascii="仿宋_GB2312" w:hAnsi="仿宋_GB2312" w:eastAsia="仿宋_GB2312" w:cs="仿宋_GB2312"/>
          <w:snapToGrid w:val="0"/>
          <w:color w:val="000000"/>
          <w:kern w:val="2"/>
          <w:sz w:val="32"/>
          <w:szCs w:val="32"/>
          <w:lang w:val="en-US" w:eastAsia="zh-CN" w:bidi="ar"/>
        </w:rPr>
        <w:t>如对以上行政处罚不服的，可在接到本决定书之日起六十日内，向莆田市人民政府申请复议或在十五日内向莆田市荔城区人民法院起诉；逾期不申请复议、不起诉又不履行的，本机关将申请人民法院强制执行。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楷体" w:hAnsi="楷体" w:eastAsia="楷体" w:cs="楷体"/>
          <w:color w:val="231F20"/>
          <w:spacing w:val="0"/>
          <w:w w:val="100"/>
          <w:sz w:val="31"/>
          <w:szCs w:val="31"/>
          <w14:textOutline w14:w="5626" w14:cap="sq" w14:cmpd="sng" w14:algn="ctr">
            <w14:solidFill>
              <w14:srgbClr w14:val="231F20"/>
            </w14:solidFill>
            <w14:prstDash w14:val="solid"/>
            <w14:bevel/>
          </w14:textOutline>
        </w:rPr>
      </w:pPr>
    </w:p>
    <w:p>
      <w:pPr>
        <w:spacing w:line="279" w:lineRule="auto"/>
        <w:rPr>
          <w:rFonts w:ascii="Microsoft JhengHei"/>
          <w:spacing w:val="0"/>
          <w:w w:val="100"/>
        </w:rPr>
      </w:pP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hint="eastAsia" w:ascii="Microsoft JhengHei" w:eastAsia="宋体"/>
          <w:color w:val="FF0000"/>
          <w:spacing w:val="0"/>
          <w:w w:val="100"/>
          <w:lang w:val="en-US" w:eastAsia="zh-CN"/>
        </w:rPr>
        <w:t>（以下信息请勿修改！！否则盖章会出错！！本段红字请忽略，盖章时会自动删除！！）</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莆田市市场监督管理局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bookmarkStart w:id="1" w:name="decisionDate2"/>
      <w:bookmarkEnd w:id="1"/>
      <w:r>
        <w:rPr>
          <w:rFonts w:hint="eastAsia" w:ascii="仿宋" w:hAnsi="仿宋" w:eastAsia="仿宋" w:cs="仿宋"/>
          <w:spacing w:val="0"/>
          <w:w w:val="100"/>
          <w:sz w:val="32"/>
          <w:szCs w:val="32"/>
          <w:lang w:val="en-US" w:eastAsia="zh-CN"/>
        </w:rPr>
        <w:t xml:space="preserve">       </w:t>
      </w:r>
    </w:p>
    <w:p>
      <w:pPr>
        <w:spacing w:line="279" w:lineRule="auto"/>
        <w:rPr>
          <w:rFonts w:hint="default" w:ascii="Microsoft JhengHei" w:eastAsia="宋体"/>
          <w:color w:val="FF0000"/>
          <w:spacing w:val="0"/>
          <w:w w:val="100"/>
          <w:lang w:val="en-US" w:eastAsia="zh-CN"/>
        </w:rPr>
      </w:pPr>
      <w:bookmarkStart w:id="2" w:name="thts2"/>
      <w:r>
        <w:rPr>
          <w:rFonts w:hint="eastAsia" w:ascii="Microsoft JhengHei" w:eastAsia="宋体"/>
          <w:color w:val="FF0000"/>
          <w:spacing w:val="0"/>
          <w:w w:val="100"/>
          <w:lang w:val="en-US" w:eastAsia="zh-CN"/>
        </w:rPr>
        <w:t>（以上信息请勿修改！！否则盖章会出错！！本段红字请忽略，盖章时会自动删除！！）</w:t>
      </w:r>
      <w:bookmarkEnd w:id="2"/>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56112CB"/>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37C30D2"/>
    <w:rsid w:val="751B33A8"/>
    <w:rsid w:val="77365F93"/>
    <w:rsid w:val="78D37FAF"/>
    <w:rsid w:val="795B53DC"/>
    <w:rsid w:val="7A08324D"/>
    <w:rsid w:val="7C091DFF"/>
    <w:rsid w:val="7C337D02"/>
    <w:rsid w:val="7D0A7D18"/>
    <w:rsid w:val="7DA55C93"/>
    <w:rsid w:val="7E726C6A"/>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2024-02-28T02:14:00Z</dcterms:created>
  <dc:creator>admin</dc:creator>
  <cp:lastModifiedBy>魏金伟</cp:lastModifiedBy>
  <dcterms:modified xsi:type="dcterms:W3CDTF">2025-06-06T08:58:16Z</dcterms:modified>
  <dc:title>莆田市市场监督管理局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418C01DBAB86420BB5E3D98C8368170E_12</vt:lpwstr>
  </property>
</Properties>
</file>