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pPr>
        <w:rPr>
          <w:rFonts w:ascii="宋体"/>
          <w:b/>
          <w:bCs/>
          <w:highlight w:val="none"/>
        </w:rPr>
      </w:pPr>
      <w:r>
        <w:rPr>
          <w:highlight w:val="none"/>
        </w:rPr>
        <w:pict>
          <v:line id="直线 2" o:spid="_x0000_s103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pP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rFonts w:ascii="宋体"/>
          <w:i/>
          <w:iCs/>
          <w:highlight w:val="none"/>
        </w:rPr>
      </w:pPr>
    </w:p>
    <w:p>
      <w:pPr>
        <w:jc w:val="center"/>
        <w:rPr>
          <w:highlight w:val="none"/>
        </w:rPr>
      </w:pPr>
    </w:p>
    <w:p>
      <w:pPr>
        <w:jc w:val="center"/>
        <w:rPr>
          <w:highlight w:val="none"/>
        </w:rPr>
      </w:pPr>
    </w:p>
    <w:p>
      <w:pPr>
        <w:jc w:val="center"/>
        <w:rPr>
          <w:highlight w:val="none"/>
        </w:rPr>
      </w:pPr>
    </w:p>
    <w:p>
      <w:pPr>
        <w:jc w:val="center"/>
        <w:rPr>
          <w:rFonts w:hint="eastAsia" w:eastAsia="宋体"/>
          <w:highlight w:val="none"/>
          <w:lang w:eastAsia="zh-CN"/>
        </w:rPr>
      </w:pPr>
      <w:r>
        <w:rPr>
          <w:rFonts w:hint="eastAsia" w:ascii="黑体" w:hAnsi="宋体" w:eastAsia="黑体" w:cs="黑体"/>
          <w:sz w:val="48"/>
          <w:szCs w:val="48"/>
          <w:highlight w:val="none"/>
          <w:lang w:eastAsia="zh-CN"/>
        </w:rPr>
        <w:t>安全帽</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pStyle w:val="30"/>
        <w:rPr>
          <w:rFonts w:cs="Times New Roman"/>
          <w:highlight w:val="none"/>
        </w:rPr>
      </w:pPr>
    </w:p>
    <w:p>
      <w:pPr>
        <w:jc w:val="center"/>
        <w:rPr>
          <w:highlight w:val="none"/>
        </w:rPr>
      </w:pPr>
    </w:p>
    <w:p>
      <w:pPr>
        <w:pStyle w:val="30"/>
        <w:rPr>
          <w:rFonts w:cs="Times New Roman"/>
          <w:highlight w:val="none"/>
        </w:rPr>
      </w:pPr>
    </w:p>
    <w:p>
      <w:pPr>
        <w:rPr>
          <w:rFonts w:ascii="黑体" w:hAnsi="宋体" w:eastAsia="黑体"/>
          <w:sz w:val="28"/>
          <w:szCs w:val="28"/>
          <w:highlight w:val="none"/>
        </w:rPr>
      </w:pPr>
    </w:p>
    <w:p>
      <w:pPr>
        <w:rPr>
          <w:highlight w:val="none"/>
          <w:u w:val="single"/>
        </w:rPr>
      </w:pPr>
      <w:r>
        <w:rPr>
          <w:highlight w:val="none"/>
        </w:rPr>
        <w:pict>
          <v:line id="直线 3" o:spid="_x0000_s103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pPr>
        <w:pStyle w:val="26"/>
        <w:rPr>
          <w:highlight w:val="none"/>
        </w:rPr>
      </w:pPr>
    </w:p>
    <w:p>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2024</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pPr>
        <w:spacing w:line="360" w:lineRule="auto"/>
        <w:rPr>
          <w:rFonts w:ascii="黑体" w:hAnsi="宋体" w:eastAsia="黑体"/>
          <w:b/>
          <w:bCs/>
          <w:color w:val="000000"/>
          <w:highlight w:val="none"/>
        </w:rPr>
      </w:pP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29"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2024</w:t>
      </w:r>
      <w:r>
        <w:rPr>
          <w:rFonts w:hint="eastAsia" w:ascii="宋体" w:hAnsi="宋体" w:cs="宋体"/>
          <w:highlight w:val="none"/>
        </w:rPr>
        <w:t>年莆田市流通领域</w:t>
      </w:r>
      <w:r>
        <w:rPr>
          <w:rFonts w:hint="eastAsia" w:ascii="宋体" w:hAnsi="宋体" w:cs="宋体"/>
          <w:highlight w:val="none"/>
          <w:lang w:eastAsia="zh-CN"/>
        </w:rPr>
        <w:t>安全帽</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安全帽</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安全帽</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安全技术防范产品</w:t>
            </w:r>
          </w:p>
        </w:tc>
        <w:tc>
          <w:tcPr>
            <w:tcW w:w="4835" w:type="dxa"/>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安全帽</w:t>
            </w:r>
          </w:p>
        </w:tc>
      </w:tr>
    </w:tbl>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2811-2019头部防护 安全帽</w:t>
      </w:r>
    </w:p>
    <w:p>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普通型产品每批次抽取样品14顶，其中7顶作为检验样品，7顶作为备用样品。</w:t>
      </w:r>
      <w:r>
        <w:rPr>
          <w:rFonts w:hint="eastAsia" w:ascii="宋体" w:hAnsi="宋体" w:cs="Sim Sun"/>
          <w:color w:val="auto"/>
          <w:kern w:val="0"/>
          <w:lang w:val="en-US" w:eastAsia="zh-CN"/>
        </w:rPr>
        <w:t>另有侧向刚性特殊性能的产品检备样各增加1顶。</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pPr>
        <w:pStyle w:val="4"/>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2</w:t>
      </w:r>
      <w:r>
        <w:rPr>
          <w:rFonts w:hint="eastAsia" w:ascii="宋体" w:hAnsi="宋体" w:cs="宋体"/>
          <w:kern w:val="0"/>
          <w:highlight w:val="none"/>
          <w:lang w:val="en-US" w:eastAsia="zh-CN"/>
        </w:rPr>
        <w:t>安全帽</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佩戴高度</w:t>
            </w:r>
          </w:p>
        </w:tc>
        <w:tc>
          <w:tcPr>
            <w:tcW w:w="1710" w:type="dxa"/>
            <w:vMerge w:val="restart"/>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lang w:val="en-US" w:eastAsia="zh-CN"/>
              </w:rPr>
              <w:t xml:space="preserve">GB 2811-2019 </w:t>
            </w: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垂直间距</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下颏带强度</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冲击吸收性能（高温、低温、浸水）</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耐穿刺性能（高温、低温、浸水）</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侧向刚性</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7</w:t>
            </w:r>
          </w:p>
        </w:tc>
        <w:tc>
          <w:tcPr>
            <w:tcW w:w="2790" w:type="dxa"/>
            <w:noWrap/>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sz w:val="21"/>
                <w:szCs w:val="21"/>
                <w:highlight w:val="none"/>
                <w:lang w:val="en-US" w:eastAsia="zh-CN"/>
              </w:rPr>
              <w:t>耐低温性能</w:t>
            </w:r>
          </w:p>
        </w:tc>
        <w:tc>
          <w:tcPr>
            <w:tcW w:w="1710" w:type="dxa"/>
            <w:vMerge w:val="continue"/>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GB 2811-2019</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A为极重要质量项目</w: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B为重要质量项目</w:t>
            </w:r>
          </w:p>
        </w:tc>
      </w:tr>
    </w:tbl>
    <w:p>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安全帽</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安全帽</w:t>
      </w:r>
      <w:r>
        <w:rPr>
          <w:rFonts w:hint="eastAsia" w:ascii="宋体" w:hAnsi="宋体" w:cs="宋体"/>
          <w:highlight w:val="none"/>
        </w:rPr>
        <w:t>）》，判定为被抽查产品不合格；</w:t>
      </w:r>
    </w:p>
    <w:p>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bookmarkStart w:id="0" w:name="_GoBack"/>
      <w:bookmarkEnd w:id="0"/>
      <w:r>
        <w:rPr>
          <w:rFonts w:hint="eastAsia" w:ascii="宋体" w:hAnsi="宋体" w:cs="宋体"/>
          <w:highlight w:val="none"/>
        </w:rPr>
        <w:t>，依据《</w:t>
      </w:r>
      <w:r>
        <w:rPr>
          <w:rFonts w:hint="eastAsia" w:ascii="宋体" w:hAnsi="宋体" w:cs="宋体"/>
          <w:highlight w:val="none"/>
          <w:lang w:eastAsia="zh-CN"/>
        </w:rPr>
        <w:t>2024</w:t>
      </w:r>
      <w:r>
        <w:rPr>
          <w:rFonts w:hint="eastAsia" w:ascii="宋体" w:hAnsi="宋体" w:cs="宋体"/>
          <w:highlight w:val="none"/>
        </w:rPr>
        <w:t>年莆田市流通领域产品质量监督抽查实施细则（</w:t>
      </w:r>
      <w:r>
        <w:rPr>
          <w:rFonts w:hint="eastAsia" w:ascii="宋体" w:hAnsi="宋体" w:cs="宋体"/>
          <w:highlight w:val="none"/>
          <w:lang w:eastAsia="zh-CN"/>
        </w:rPr>
        <w:t>安全帽</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im Sun">
    <w:altName w:val="宋体"/>
    <w:panose1 w:val="00000000000000000000"/>
    <w:charset w:val="86"/>
    <w:family w:val="swiss"/>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semiHidden/>
    <w:qFormat/>
    <w:locked/>
    <w:uiPriority w:val="99"/>
    <w:pPr>
      <w:ind w:left="420" w:leftChars="200"/>
    </w:pPr>
  </w:style>
  <w:style w:type="paragraph" w:styleId="4">
    <w:name w:val="Note Heading"/>
    <w:basedOn w:val="1"/>
    <w:next w:val="1"/>
    <w:link w:val="28"/>
    <w:qFormat/>
    <w:locked/>
    <w:uiPriority w:val="99"/>
    <w:pPr>
      <w:jc w:val="center"/>
    </w:pPr>
  </w:style>
  <w:style w:type="paragraph" w:styleId="5">
    <w:name w:val="Normal Indent"/>
    <w:basedOn w:val="1"/>
    <w:next w:val="1"/>
    <w:qFormat/>
    <w:locked/>
    <w:uiPriority w:val="0"/>
    <w:pPr>
      <w:ind w:firstLine="420"/>
    </w:pPr>
    <w:rPr>
      <w:szCs w:val="20"/>
    </w:rPr>
  </w:style>
  <w:style w:type="paragraph" w:styleId="6">
    <w:name w:val="Body Text Indent"/>
    <w:basedOn w:val="1"/>
    <w:next w:val="5"/>
    <w:unhideWhenUsed/>
    <w:qFormat/>
    <w:locked/>
    <w:uiPriority w:val="99"/>
    <w:pPr>
      <w:spacing w:after="120"/>
      <w:ind w:left="420" w:leftChars="200"/>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6"/>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2"/>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4"/>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1969</Words>
  <Characters>2143</Characters>
  <Lines>0</Lines>
  <Paragraphs>0</Paragraphs>
  <TotalTime>0</TotalTime>
  <ScaleCrop>false</ScaleCrop>
  <LinksUpToDate>false</LinksUpToDate>
  <CharactersWithSpaces>2167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2024-07-10T06:57:40Z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C4247D04D33A4F25A63E02D9C4FB2929</vt:lpwstr>
  </property>
</Properties>
</file>