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2C7D0">
      <w:pPr>
        <w:jc w:val="center"/>
        <w:rPr>
          <w:rFonts w:ascii="黑体" w:hAnsi="宋体" w:eastAsia="黑体"/>
          <w:color w:val="FF0000"/>
          <w:spacing w:val="20"/>
          <w:w w:val="105"/>
          <w:sz w:val="48"/>
          <w:szCs w:val="48"/>
          <w:highlight w:val="none"/>
        </w:rPr>
      </w:pPr>
      <w:r>
        <w:rPr>
          <w:rFonts w:ascii="黑体" w:hAnsi="宋体" w:eastAsia="黑体" w:cs="黑体"/>
          <w:sz w:val="48"/>
          <w:szCs w:val="48"/>
          <w:highlight w:val="none"/>
        </w:rPr>
        <w:t>202</w:t>
      </w:r>
      <w:r>
        <w:rPr>
          <w:rFonts w:hint="eastAsia" w:ascii="黑体" w:hAnsi="宋体" w:eastAsia="黑体" w:cs="黑体"/>
          <w:sz w:val="48"/>
          <w:szCs w:val="48"/>
          <w:highlight w:val="none"/>
          <w:lang w:val="en-US" w:eastAsia="zh-CN"/>
        </w:rPr>
        <w:t>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200D4586">
      <w:pPr>
        <w:rPr>
          <w:rFonts w:ascii="宋体"/>
          <w:b/>
          <w:bCs/>
          <w:highlight w:val="non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29313AF2">
      <w:pPr>
        <w:rPr>
          <w:rFonts w:ascii="宋体"/>
          <w:i/>
          <w:iCs/>
          <w:highlight w:val="none"/>
        </w:rPr>
      </w:pPr>
    </w:p>
    <w:p w14:paraId="458A47B4">
      <w:pPr>
        <w:jc w:val="center"/>
        <w:rPr>
          <w:rFonts w:ascii="宋体"/>
          <w:i/>
          <w:iCs/>
          <w:highlight w:val="none"/>
        </w:rPr>
      </w:pPr>
    </w:p>
    <w:p w14:paraId="3AF42A58">
      <w:pPr>
        <w:jc w:val="center"/>
        <w:rPr>
          <w:rFonts w:ascii="宋体"/>
          <w:i/>
          <w:iCs/>
          <w:highlight w:val="none"/>
        </w:rPr>
      </w:pPr>
    </w:p>
    <w:p w14:paraId="2CE4F65C">
      <w:pPr>
        <w:jc w:val="center"/>
        <w:rPr>
          <w:rFonts w:ascii="宋体"/>
          <w:i/>
          <w:iCs/>
          <w:highlight w:val="none"/>
        </w:rPr>
      </w:pPr>
    </w:p>
    <w:p w14:paraId="7D112383">
      <w:pPr>
        <w:jc w:val="center"/>
        <w:rPr>
          <w:rFonts w:ascii="宋体"/>
          <w:i/>
          <w:iCs/>
          <w:highlight w:val="none"/>
        </w:rPr>
      </w:pPr>
    </w:p>
    <w:p w14:paraId="07D485E1">
      <w:pPr>
        <w:jc w:val="center"/>
        <w:rPr>
          <w:rFonts w:ascii="宋体"/>
          <w:i/>
          <w:iCs/>
          <w:highlight w:val="none"/>
        </w:rPr>
      </w:pPr>
    </w:p>
    <w:p w14:paraId="05E02B90">
      <w:pPr>
        <w:jc w:val="center"/>
        <w:rPr>
          <w:rFonts w:ascii="宋体"/>
          <w:i/>
          <w:iCs/>
          <w:highlight w:val="none"/>
        </w:rPr>
      </w:pPr>
    </w:p>
    <w:p w14:paraId="030128E8">
      <w:pPr>
        <w:jc w:val="center"/>
        <w:rPr>
          <w:rFonts w:ascii="宋体"/>
          <w:i/>
          <w:iCs/>
          <w:highlight w:val="none"/>
        </w:rPr>
      </w:pPr>
    </w:p>
    <w:p w14:paraId="0628C5A3">
      <w:pPr>
        <w:jc w:val="center"/>
        <w:rPr>
          <w:rFonts w:ascii="宋体"/>
          <w:i/>
          <w:iCs/>
          <w:highlight w:val="none"/>
        </w:rPr>
      </w:pPr>
    </w:p>
    <w:p w14:paraId="6ED3E56D">
      <w:pPr>
        <w:jc w:val="center"/>
        <w:rPr>
          <w:highlight w:val="none"/>
        </w:rPr>
      </w:pPr>
    </w:p>
    <w:p w14:paraId="090C861E">
      <w:pPr>
        <w:jc w:val="center"/>
        <w:rPr>
          <w:highlight w:val="none"/>
        </w:rPr>
      </w:pPr>
    </w:p>
    <w:p w14:paraId="59949EB6">
      <w:pPr>
        <w:jc w:val="center"/>
        <w:rPr>
          <w:highlight w:val="none"/>
        </w:rPr>
      </w:pPr>
    </w:p>
    <w:p w14:paraId="52C780D0">
      <w:pPr>
        <w:jc w:val="center"/>
        <w:rPr>
          <w:rFonts w:hint="eastAsia" w:eastAsia="黑体"/>
          <w:color w:val="FF0000"/>
          <w:highlight w:val="none"/>
          <w:lang w:val="en-US" w:eastAsia="zh-CN"/>
        </w:rPr>
      </w:pPr>
      <w:r>
        <w:rPr>
          <w:rFonts w:hint="eastAsia" w:ascii="黑体" w:hAnsi="宋体" w:eastAsia="黑体" w:cs="黑体"/>
          <w:sz w:val="48"/>
          <w:szCs w:val="48"/>
          <w:highlight w:val="none"/>
        </w:rPr>
        <w:t>婴幼儿</w:t>
      </w:r>
      <w:r>
        <w:rPr>
          <w:rFonts w:hint="eastAsia" w:ascii="黑体" w:hAnsi="宋体" w:eastAsia="黑体" w:cs="黑体"/>
          <w:sz w:val="48"/>
          <w:szCs w:val="48"/>
          <w:highlight w:val="none"/>
          <w:lang w:val="en-US" w:eastAsia="zh-CN"/>
        </w:rPr>
        <w:t>服装</w:t>
      </w:r>
    </w:p>
    <w:p w14:paraId="63C9D0A1">
      <w:pPr>
        <w:jc w:val="center"/>
        <w:rPr>
          <w:highlight w:val="none"/>
        </w:rPr>
      </w:pPr>
    </w:p>
    <w:p w14:paraId="18F39C78">
      <w:pPr>
        <w:jc w:val="center"/>
        <w:rPr>
          <w:highlight w:val="none"/>
        </w:rPr>
      </w:pPr>
    </w:p>
    <w:p w14:paraId="7C488686">
      <w:pPr>
        <w:jc w:val="center"/>
        <w:rPr>
          <w:highlight w:val="none"/>
        </w:rPr>
      </w:pPr>
    </w:p>
    <w:p w14:paraId="5E4C92BB">
      <w:pPr>
        <w:jc w:val="center"/>
        <w:rPr>
          <w:highlight w:val="none"/>
        </w:rPr>
      </w:pPr>
    </w:p>
    <w:p w14:paraId="066BA123">
      <w:pPr>
        <w:jc w:val="center"/>
        <w:rPr>
          <w:highlight w:val="none"/>
        </w:rPr>
      </w:pPr>
    </w:p>
    <w:p w14:paraId="7DA0009A">
      <w:pPr>
        <w:jc w:val="center"/>
        <w:rPr>
          <w:highlight w:val="none"/>
        </w:rPr>
      </w:pPr>
    </w:p>
    <w:p w14:paraId="1995DBD3">
      <w:pPr>
        <w:jc w:val="center"/>
        <w:rPr>
          <w:highlight w:val="none"/>
        </w:rPr>
      </w:pPr>
    </w:p>
    <w:p w14:paraId="1A2375A3">
      <w:pPr>
        <w:jc w:val="center"/>
        <w:rPr>
          <w:highlight w:val="none"/>
        </w:rPr>
      </w:pPr>
    </w:p>
    <w:p w14:paraId="00249730">
      <w:pPr>
        <w:jc w:val="center"/>
        <w:rPr>
          <w:highlight w:val="none"/>
        </w:rPr>
      </w:pPr>
    </w:p>
    <w:p w14:paraId="1CB7CA40">
      <w:pPr>
        <w:rPr>
          <w:highlight w:val="none"/>
        </w:rPr>
      </w:pPr>
    </w:p>
    <w:p w14:paraId="4185B4D0">
      <w:pPr>
        <w:jc w:val="center"/>
        <w:rPr>
          <w:highlight w:val="none"/>
        </w:rPr>
      </w:pPr>
    </w:p>
    <w:p w14:paraId="6591EFBC">
      <w:pPr>
        <w:jc w:val="center"/>
        <w:rPr>
          <w:highlight w:val="none"/>
        </w:rPr>
      </w:pPr>
    </w:p>
    <w:p w14:paraId="2E449392">
      <w:pPr>
        <w:jc w:val="center"/>
        <w:rPr>
          <w:highlight w:val="none"/>
        </w:rPr>
      </w:pPr>
    </w:p>
    <w:p w14:paraId="149E4958">
      <w:pPr>
        <w:jc w:val="center"/>
        <w:rPr>
          <w:highlight w:val="none"/>
        </w:rPr>
      </w:pPr>
    </w:p>
    <w:p w14:paraId="13854FB7">
      <w:pPr>
        <w:pStyle w:val="2"/>
        <w:rPr>
          <w:rFonts w:cs="Times New Roman"/>
          <w:highlight w:val="none"/>
        </w:rPr>
      </w:pPr>
    </w:p>
    <w:p w14:paraId="5288D3D7">
      <w:pPr>
        <w:jc w:val="center"/>
        <w:rPr>
          <w:highlight w:val="none"/>
        </w:rPr>
      </w:pPr>
    </w:p>
    <w:p w14:paraId="15D6BDC7">
      <w:pPr>
        <w:pStyle w:val="2"/>
        <w:rPr>
          <w:rFonts w:cs="Times New Roman"/>
          <w:highlight w:val="none"/>
        </w:rPr>
      </w:pPr>
    </w:p>
    <w:p w14:paraId="177CB9B9">
      <w:pPr>
        <w:rPr>
          <w:rFonts w:ascii="黑体" w:hAnsi="宋体" w:eastAsia="黑体"/>
          <w:sz w:val="28"/>
          <w:szCs w:val="28"/>
          <w:highlight w:val="none"/>
        </w:rPr>
      </w:pPr>
    </w:p>
    <w:p w14:paraId="048DA99A">
      <w:pPr>
        <w:rPr>
          <w:highlight w:val="none"/>
          <w:u w:val="singl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4128D776">
      <w:pPr>
        <w:rPr>
          <w:highlight w:val="none"/>
          <w:u w:val="single"/>
        </w:rPr>
      </w:pPr>
    </w:p>
    <w:p w14:paraId="06C5E3F9">
      <w:pPr>
        <w:jc w:val="center"/>
        <w:rPr>
          <w:rFonts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708A30BF">
      <w:pPr>
        <w:pStyle w:val="2"/>
        <w:rPr>
          <w:highlight w:val="none"/>
        </w:rPr>
      </w:pPr>
    </w:p>
    <w:p w14:paraId="67CEA827">
      <w:pPr>
        <w:pStyle w:val="4"/>
        <w:spacing w:line="360" w:lineRule="auto"/>
        <w:jc w:val="center"/>
        <w:rPr>
          <w:rFonts w:hAnsi="宋体" w:cs="Times New Roman"/>
          <w:b/>
          <w:bCs/>
          <w:sz w:val="36"/>
          <w:szCs w:val="36"/>
          <w:highlight w:val="none"/>
        </w:rPr>
      </w:pPr>
      <w:r>
        <w:rPr>
          <w:rFonts w:hAnsi="宋体"/>
          <w:b/>
          <w:bCs/>
          <w:spacing w:val="-14"/>
          <w:sz w:val="36"/>
          <w:szCs w:val="36"/>
          <w:highlight w:val="none"/>
        </w:rPr>
        <w:t>202</w:t>
      </w:r>
      <w:r>
        <w:rPr>
          <w:rFonts w:hint="eastAsia" w:hAnsi="宋体"/>
          <w:b/>
          <w:bCs/>
          <w:spacing w:val="-14"/>
          <w:sz w:val="36"/>
          <w:szCs w:val="36"/>
          <w:highlight w:val="none"/>
          <w:lang w:val="en-US" w:eastAsia="zh-CN"/>
        </w:rPr>
        <w:t>4</w:t>
      </w:r>
      <w:r>
        <w:rPr>
          <w:rFonts w:hint="eastAsia" w:hAnsi="宋体"/>
          <w:b/>
          <w:bCs/>
          <w:spacing w:val="-14"/>
          <w:sz w:val="36"/>
          <w:szCs w:val="36"/>
          <w:highlight w:val="none"/>
        </w:rPr>
        <w:t>年流通领域产品质量</w:t>
      </w:r>
      <w:r>
        <w:rPr>
          <w:rFonts w:hint="eastAsia" w:hAnsi="宋体"/>
          <w:b/>
          <w:bCs/>
          <w:sz w:val="36"/>
          <w:szCs w:val="36"/>
          <w:highlight w:val="none"/>
        </w:rPr>
        <w:t>监督抽查实施细则</w:t>
      </w:r>
    </w:p>
    <w:p w14:paraId="758E9D74">
      <w:pPr>
        <w:spacing w:line="360" w:lineRule="auto"/>
        <w:rPr>
          <w:rFonts w:ascii="黑体" w:hAnsi="宋体" w:eastAsia="黑体"/>
          <w:b/>
          <w:bCs/>
          <w:color w:val="000000"/>
          <w:highlight w:val="none"/>
        </w:rPr>
      </w:pPr>
    </w:p>
    <w:p w14:paraId="659FAA4C">
      <w:pPr>
        <w:spacing w:line="360" w:lineRule="auto"/>
        <w:rPr>
          <w:rFonts w:ascii="黑体" w:hAnsi="宋体" w:eastAsia="黑体"/>
          <w:b/>
          <w:bCs/>
          <w:color w:val="000000"/>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3176370A">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年莆田市流通领域婴幼儿</w:t>
      </w:r>
      <w:r>
        <w:rPr>
          <w:rFonts w:hint="eastAsia" w:ascii="宋体" w:hAnsi="宋体" w:cs="宋体"/>
          <w:highlight w:val="none"/>
          <w:lang w:val="en-US" w:eastAsia="zh-CN"/>
        </w:rPr>
        <w:t>服装</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3B16AFE7">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174B1ABF">
      <w:pPr>
        <w:spacing w:line="360" w:lineRule="auto"/>
        <w:rPr>
          <w:rFonts w:ascii="黑体" w:hAnsi="宋体" w:eastAsia="黑体"/>
          <w:b/>
          <w:bCs/>
          <w:color w:val="000000"/>
          <w:highlight w:val="none"/>
        </w:rPr>
      </w:pPr>
      <w:r>
        <w:rPr>
          <w:rFonts w:ascii="黑体" w:hAnsi="宋体" w:eastAsia="黑体" w:cs="黑体"/>
          <w:b/>
          <w:bCs/>
          <w:color w:val="000000"/>
          <w:highlight w:val="none"/>
        </w:rPr>
        <w:t>2.</w:t>
      </w:r>
      <w:r>
        <w:rPr>
          <w:rFonts w:hint="eastAsia" w:ascii="黑体" w:hAnsi="宋体" w:eastAsia="黑体" w:cs="黑体"/>
          <w:b/>
          <w:bCs/>
          <w:color w:val="000000"/>
          <w:highlight w:val="none"/>
        </w:rPr>
        <w:t>产品分类</w:t>
      </w:r>
    </w:p>
    <w:p w14:paraId="5DC743B0">
      <w:pPr>
        <w:spacing w:line="360" w:lineRule="auto"/>
        <w:ind w:firstLine="420" w:firstLineChars="200"/>
        <w:rPr>
          <w:rFonts w:ascii="宋体"/>
          <w:color w:val="000000"/>
          <w:highlight w:val="none"/>
        </w:rPr>
      </w:pPr>
      <w:r>
        <w:rPr>
          <w:rFonts w:hint="eastAsia" w:ascii="宋体" w:hAnsi="宋体" w:cs="宋体"/>
          <w:highlight w:val="none"/>
        </w:rPr>
        <w:t>婴幼儿</w:t>
      </w:r>
      <w:r>
        <w:rPr>
          <w:rFonts w:hint="eastAsia" w:ascii="宋体" w:hAnsi="宋体" w:cs="宋体"/>
          <w:highlight w:val="none"/>
          <w:lang w:val="en-US" w:eastAsia="zh-CN"/>
        </w:rPr>
        <w:t>服装</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0C957245">
      <w:pPr>
        <w:spacing w:line="360" w:lineRule="auto"/>
        <w:jc w:val="center"/>
        <w:rPr>
          <w:rFonts w:ascii="宋体"/>
          <w:color w:val="000000"/>
          <w:highlight w:val="none"/>
        </w:rPr>
      </w:pPr>
      <w:r>
        <w:rPr>
          <w:rFonts w:hint="eastAsia" w:ascii="宋体" w:hAnsi="宋体" w:cs="宋体"/>
          <w:color w:val="000000"/>
          <w:highlight w:val="none"/>
        </w:rPr>
        <w:t>表1 婴幼儿</w:t>
      </w:r>
      <w:r>
        <w:rPr>
          <w:rFonts w:hint="eastAsia" w:ascii="宋体" w:hAnsi="宋体" w:cs="宋体"/>
          <w:color w:val="000000"/>
          <w:highlight w:val="none"/>
          <w:lang w:val="en-US" w:eastAsia="zh-CN"/>
        </w:rPr>
        <w:t>服</w:t>
      </w:r>
      <w:r>
        <w:rPr>
          <w:rFonts w:hint="eastAsia" w:ascii="宋体" w:hAnsi="宋体" w:cs="宋体"/>
          <w:highlight w:val="none"/>
          <w:lang w:val="en-US" w:eastAsia="zh-CN"/>
        </w:rPr>
        <w:t>装</w:t>
      </w:r>
      <w:r>
        <w:rPr>
          <w:rFonts w:hint="eastAsia" w:ascii="宋体" w:hAnsi="宋体" w:cs="宋体"/>
          <w:color w:val="000000"/>
          <w:highlight w:val="none"/>
        </w:rPr>
        <w:t>产品分类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2809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236" w:type="pct"/>
            <w:noWrap/>
          </w:tcPr>
          <w:p w14:paraId="3601FB9B">
            <w:pPr>
              <w:spacing w:line="320" w:lineRule="exact"/>
              <w:jc w:val="center"/>
              <w:rPr>
                <w:rFonts w:ascii="宋体"/>
                <w:sz w:val="18"/>
                <w:szCs w:val="18"/>
                <w:highlight w:val="none"/>
              </w:rPr>
            </w:pPr>
            <w:r>
              <w:rPr>
                <w:rFonts w:hint="eastAsia" w:ascii="宋体" w:hAnsi="宋体" w:cs="宋体"/>
                <w:sz w:val="18"/>
                <w:szCs w:val="18"/>
                <w:highlight w:val="none"/>
              </w:rPr>
              <w:t>产品分类</w:t>
            </w:r>
          </w:p>
        </w:tc>
        <w:tc>
          <w:tcPr>
            <w:tcW w:w="3764" w:type="pct"/>
            <w:noWrap/>
          </w:tcPr>
          <w:p w14:paraId="36FAFB28">
            <w:pPr>
              <w:spacing w:line="320" w:lineRule="exact"/>
              <w:jc w:val="center"/>
              <w:rPr>
                <w:rFonts w:ascii="宋体"/>
                <w:sz w:val="18"/>
                <w:szCs w:val="18"/>
                <w:highlight w:val="none"/>
              </w:rPr>
            </w:pPr>
            <w:r>
              <w:rPr>
                <w:rFonts w:hint="eastAsia" w:ascii="宋体" w:hAnsi="宋体" w:cs="宋体"/>
                <w:sz w:val="18"/>
                <w:szCs w:val="18"/>
                <w:highlight w:val="none"/>
              </w:rPr>
              <w:t>产品范围</w:t>
            </w:r>
          </w:p>
        </w:tc>
      </w:tr>
      <w:tr w14:paraId="1C6E7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36" w:type="pct"/>
            <w:noWrap/>
            <w:vAlign w:val="center"/>
          </w:tcPr>
          <w:p w14:paraId="0337C08F">
            <w:pPr>
              <w:spacing w:line="320" w:lineRule="exact"/>
              <w:jc w:val="center"/>
              <w:rPr>
                <w:rFonts w:ascii="宋体"/>
                <w:sz w:val="18"/>
                <w:szCs w:val="18"/>
                <w:highlight w:val="none"/>
              </w:rPr>
            </w:pPr>
            <w:r>
              <w:rPr>
                <w:rFonts w:hint="eastAsia" w:ascii="宋体"/>
                <w:sz w:val="18"/>
                <w:szCs w:val="18"/>
                <w:highlight w:val="none"/>
              </w:rPr>
              <w:t>纺织品</w:t>
            </w:r>
          </w:p>
        </w:tc>
        <w:tc>
          <w:tcPr>
            <w:tcW w:w="3764" w:type="pct"/>
            <w:noWrap/>
            <w:vAlign w:val="center"/>
          </w:tcPr>
          <w:p w14:paraId="59CD3543">
            <w:pPr>
              <w:spacing w:line="320" w:lineRule="exact"/>
              <w:jc w:val="center"/>
              <w:rPr>
                <w:rFonts w:ascii="宋体"/>
                <w:sz w:val="18"/>
                <w:szCs w:val="18"/>
                <w:highlight w:val="none"/>
              </w:rPr>
            </w:pPr>
            <w:r>
              <w:rPr>
                <w:rFonts w:hint="eastAsia" w:ascii="宋体" w:hAnsi="宋体" w:cs="宋体"/>
                <w:sz w:val="18"/>
                <w:szCs w:val="18"/>
                <w:highlight w:val="none"/>
              </w:rPr>
              <w:t>婴幼儿</w:t>
            </w:r>
            <w:r>
              <w:rPr>
                <w:rFonts w:hint="eastAsia" w:ascii="宋体" w:hAnsi="宋体" w:cs="宋体"/>
                <w:sz w:val="18"/>
                <w:szCs w:val="18"/>
                <w:highlight w:val="none"/>
                <w:lang w:val="en-US" w:eastAsia="zh-CN"/>
              </w:rPr>
              <w:t>服装</w:t>
            </w:r>
          </w:p>
        </w:tc>
      </w:tr>
    </w:tbl>
    <w:p w14:paraId="674B382C">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3D094356">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442E3D7C">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362BA6B0">
      <w:pPr>
        <w:snapToGrid w:val="0"/>
        <w:spacing w:line="440" w:lineRule="exact"/>
        <w:ind w:firstLine="359" w:firstLineChars="171"/>
        <w:rPr>
          <w:rFonts w:ascii="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2871B151">
      <w:pPr>
        <w:snapToGrid w:val="0"/>
        <w:spacing w:line="440" w:lineRule="exact"/>
        <w:ind w:firstLine="420" w:firstLineChars="200"/>
        <w:rPr>
          <w:rFonts w:ascii="宋体" w:hAnsi="宋体" w:cs="宋体"/>
          <w:color w:val="000000"/>
          <w:highlight w:val="none"/>
        </w:rPr>
      </w:pPr>
      <w:r>
        <w:rPr>
          <w:rFonts w:ascii="宋体" w:hAnsi="宋体" w:cs="宋体"/>
          <w:color w:val="000000"/>
          <w:highlight w:val="none"/>
        </w:rPr>
        <w:t>GB 31701-2015《婴幼儿及儿童纺织产品安全技术规范》</w:t>
      </w:r>
    </w:p>
    <w:p w14:paraId="66AD5C28">
      <w:pPr>
        <w:snapToGrid w:val="0"/>
        <w:spacing w:line="440" w:lineRule="exact"/>
        <w:ind w:firstLine="420" w:firstLineChars="200"/>
        <w:rPr>
          <w:rFonts w:ascii="宋体" w:hAnsi="宋体" w:cs="宋体"/>
          <w:color w:val="000000"/>
          <w:highlight w:val="none"/>
        </w:rPr>
      </w:pPr>
      <w:r>
        <w:rPr>
          <w:rFonts w:ascii="宋体" w:hAnsi="宋体" w:cs="宋体"/>
          <w:color w:val="000000"/>
          <w:highlight w:val="none"/>
        </w:rPr>
        <w:t>FZ/T 73025-2019</w:t>
      </w:r>
      <w:r>
        <w:rPr>
          <w:rFonts w:hint="eastAsia" w:ascii="宋体" w:hAnsi="宋体" w:cs="宋体"/>
          <w:color w:val="000000"/>
          <w:highlight w:val="none"/>
        </w:rPr>
        <w:t>《婴幼儿针织服饰》</w:t>
      </w:r>
    </w:p>
    <w:p w14:paraId="18DBF960">
      <w:pPr>
        <w:snapToGrid w:val="0"/>
        <w:spacing w:line="440" w:lineRule="exact"/>
        <w:ind w:firstLine="420" w:firstLineChars="200"/>
        <w:rPr>
          <w:rFonts w:ascii="宋体" w:hAnsi="宋体" w:cs="宋体"/>
          <w:color w:val="000000"/>
          <w:highlight w:val="none"/>
        </w:rPr>
      </w:pPr>
      <w:r>
        <w:rPr>
          <w:rFonts w:ascii="宋体" w:hAnsi="宋体" w:cs="宋体"/>
          <w:color w:val="000000"/>
          <w:highlight w:val="none"/>
        </w:rPr>
        <w:t>GB/T 39508-2020</w:t>
      </w:r>
      <w:r>
        <w:rPr>
          <w:rFonts w:hint="eastAsia" w:ascii="宋体" w:hAnsi="宋体" w:cs="宋体"/>
          <w:color w:val="000000"/>
          <w:highlight w:val="none"/>
        </w:rPr>
        <w:t>《针织婴幼儿及儿童服装》</w:t>
      </w:r>
    </w:p>
    <w:p w14:paraId="0F56F257">
      <w:pPr>
        <w:snapToGrid w:val="0"/>
        <w:spacing w:line="440" w:lineRule="exact"/>
        <w:ind w:firstLine="420" w:firstLineChars="200"/>
        <w:rPr>
          <w:rFonts w:ascii="宋体" w:hAnsi="宋体" w:cs="宋体"/>
          <w:color w:val="000000"/>
          <w:highlight w:val="none"/>
        </w:rPr>
      </w:pPr>
      <w:r>
        <w:rPr>
          <w:rFonts w:ascii="宋体" w:hAnsi="宋体" w:cs="宋体"/>
          <w:color w:val="000000"/>
          <w:highlight w:val="none"/>
        </w:rPr>
        <w:t>GB/T 33271-2016</w:t>
      </w:r>
      <w:r>
        <w:rPr>
          <w:rFonts w:hint="eastAsia" w:ascii="宋体" w:hAnsi="宋体" w:cs="宋体"/>
          <w:color w:val="000000"/>
          <w:highlight w:val="none"/>
        </w:rPr>
        <w:t>《机织婴幼儿服装》</w:t>
      </w:r>
    </w:p>
    <w:p w14:paraId="31F999E1">
      <w:pPr>
        <w:snapToGrid w:val="0"/>
        <w:spacing w:line="440" w:lineRule="exact"/>
        <w:ind w:firstLine="420" w:firstLineChars="200"/>
        <w:rPr>
          <w:rFonts w:ascii="宋体" w:hAnsi="宋体" w:cs="宋体"/>
          <w:color w:val="000000"/>
          <w:highlight w:val="none"/>
        </w:rPr>
      </w:pPr>
      <w:r>
        <w:rPr>
          <w:rFonts w:hint="eastAsia" w:ascii="宋体" w:hAnsi="宋体" w:cs="宋体"/>
          <w:color w:val="000000"/>
          <w:highlight w:val="none"/>
        </w:rPr>
        <w:t>相关的法律法规、部门规章和规定</w:t>
      </w:r>
    </w:p>
    <w:p w14:paraId="491EEDA4">
      <w:pPr>
        <w:snapToGrid w:val="0"/>
        <w:spacing w:line="440" w:lineRule="exact"/>
        <w:ind w:firstLine="420" w:firstLineChars="200"/>
        <w:rPr>
          <w:rFonts w:ascii="宋体"/>
          <w:kern w:val="0"/>
          <w:highlight w:val="none"/>
        </w:rPr>
      </w:pPr>
      <w:r>
        <w:rPr>
          <w:rFonts w:hint="eastAsia" w:ascii="宋体" w:hAnsi="宋体" w:cs="宋体"/>
          <w:kern w:val="0"/>
          <w:highlight w:val="none"/>
        </w:rPr>
        <w:t>经网上自我声明公开或备案的现行有效企业标准及产品明示质量要求。</w:t>
      </w:r>
    </w:p>
    <w:p w14:paraId="5702991F">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0C427CCF">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抽样方法</w:t>
      </w:r>
    </w:p>
    <w:p w14:paraId="09DF98EC">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w:t>
      </w:r>
      <w:r>
        <w:rPr>
          <w:rFonts w:hint="eastAsia" w:ascii="宋体" w:hAnsi="宋体" w:cs="宋体"/>
          <w:highlight w:val="none"/>
          <w:lang w:eastAsia="zh-CN"/>
        </w:rPr>
        <w:t>、</w:t>
      </w:r>
      <w:r>
        <w:rPr>
          <w:rFonts w:hint="eastAsia" w:ascii="宋体" w:hAnsi="宋体" w:cs="宋体"/>
          <w:highlight w:val="none"/>
          <w:lang w:val="en-US" w:eastAsia="zh-CN"/>
        </w:rPr>
        <w:t>批次</w:t>
      </w:r>
      <w:r>
        <w:rPr>
          <w:rFonts w:hint="eastAsia" w:ascii="宋体" w:hAnsi="宋体" w:cs="宋体"/>
          <w:highlight w:val="none"/>
        </w:rPr>
        <w:t>的产品。所抽取的产品应是有质量检验合格证明或者以其他形式表明合格的。</w:t>
      </w:r>
    </w:p>
    <w:p w14:paraId="60336B50">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6E18CA0D">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52527267">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33DFC5C3">
      <w:pPr>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抽样数量</w:t>
      </w:r>
    </w:p>
    <w:p w14:paraId="06398EEA">
      <w:pPr>
        <w:snapToGrid w:val="0"/>
        <w:spacing w:line="440" w:lineRule="exact"/>
        <w:ind w:firstLine="420" w:firstLineChars="200"/>
        <w:jc w:val="left"/>
        <w:rPr>
          <w:highlight w:val="none"/>
        </w:rPr>
      </w:pPr>
      <w:r>
        <w:rPr>
          <w:rFonts w:hint="eastAsia" w:cs="宋体"/>
          <w:highlight w:val="none"/>
        </w:rPr>
        <w:t>根据本细则规定的检验要求，同种型号规格产品抽取的婴幼儿</w:t>
      </w:r>
      <w:r>
        <w:rPr>
          <w:rFonts w:hint="eastAsia" w:cs="宋体"/>
          <w:highlight w:val="none"/>
          <w:lang w:val="en-US" w:eastAsia="zh-CN"/>
        </w:rPr>
        <w:t>服装</w:t>
      </w:r>
      <w:r>
        <w:rPr>
          <w:rFonts w:hint="eastAsia" w:cs="宋体"/>
          <w:highlight w:val="none"/>
        </w:rPr>
        <w:t>样品数量为</w:t>
      </w:r>
      <w:r>
        <w:rPr>
          <w:rFonts w:hint="eastAsia" w:cs="宋体"/>
          <w:highlight w:val="none"/>
          <w:lang w:val="en-US" w:eastAsia="zh-CN"/>
        </w:rPr>
        <w:t>3</w:t>
      </w:r>
      <w:r>
        <w:rPr>
          <w:rFonts w:hint="eastAsia" w:cs="宋体"/>
          <w:highlight w:val="none"/>
        </w:rPr>
        <w:t>件，其中</w:t>
      </w:r>
      <w:r>
        <w:rPr>
          <w:rFonts w:hint="eastAsia" w:cs="宋体"/>
          <w:highlight w:val="none"/>
          <w:lang w:val="en-US" w:eastAsia="zh-CN"/>
        </w:rPr>
        <w:t>2</w:t>
      </w:r>
      <w:r>
        <w:rPr>
          <w:rFonts w:hint="eastAsia"/>
          <w:highlight w:val="none"/>
        </w:rPr>
        <w:t>件</w:t>
      </w:r>
      <w:r>
        <w:rPr>
          <w:rFonts w:hint="eastAsia" w:cs="宋体"/>
          <w:highlight w:val="none"/>
        </w:rPr>
        <w:t>为检验样品，</w:t>
      </w:r>
      <w:r>
        <w:rPr>
          <w:highlight w:val="none"/>
        </w:rPr>
        <w:t>1</w:t>
      </w:r>
      <w:r>
        <w:rPr>
          <w:rFonts w:hint="eastAsia"/>
          <w:highlight w:val="none"/>
        </w:rPr>
        <w:t>件</w:t>
      </w:r>
      <w:r>
        <w:rPr>
          <w:rFonts w:hint="eastAsia" w:cs="宋体"/>
          <w:highlight w:val="none"/>
        </w:rPr>
        <w:t>为备用样品，备用样品放置在被抽检商家。</w:t>
      </w:r>
    </w:p>
    <w:p w14:paraId="6DD05EE4">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0254CA55">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3CD6AB94">
      <w:pPr>
        <w:spacing w:line="360" w:lineRule="auto"/>
        <w:rPr>
          <w:rFonts w:ascii="宋体"/>
          <w:color w:val="000000"/>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p>
    <w:p w14:paraId="4E967D96">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1E5338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相关信息。同时记录被抽查</w:t>
      </w:r>
      <w:r>
        <w:rPr>
          <w:rFonts w:hint="eastAsia" w:ascii="宋体" w:hAnsi="宋体" w:cs="宋体"/>
          <w:highlight w:val="none"/>
        </w:rPr>
        <w:t>商铺</w:t>
      </w:r>
      <w:r>
        <w:rPr>
          <w:rFonts w:hint="eastAsia" w:ascii="宋体" w:hAnsi="宋体" w:cs="宋体"/>
          <w:color w:val="000000"/>
          <w:highlight w:val="none"/>
        </w:rPr>
        <w:t>上一年度</w:t>
      </w:r>
      <w:r>
        <w:rPr>
          <w:rFonts w:hint="eastAsia" w:cs="宋体"/>
          <w:highlight w:val="none"/>
        </w:rPr>
        <w:t>婴幼儿</w:t>
      </w:r>
      <w:r>
        <w:rPr>
          <w:rFonts w:hint="eastAsia" w:cs="宋体"/>
          <w:highlight w:val="none"/>
          <w:lang w:val="en-US" w:eastAsia="zh-CN"/>
        </w:rPr>
        <w:t>服装</w:t>
      </w:r>
      <w:r>
        <w:rPr>
          <w:rFonts w:hint="eastAsia" w:ascii="宋体" w:hAnsi="宋体" w:cs="宋体"/>
          <w:color w:val="000000"/>
          <w:highlight w:val="none"/>
        </w:rPr>
        <w:t>产品销售总额，以万元计。对于产品检验所需的样品技术参数等信息，需要被抽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22A4C0F8">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7D5BA9C0">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textAlignment w:val="auto"/>
        <w:rPr>
          <w:rFonts w:cs="Times New Roman"/>
          <w:highlight w:val="none"/>
        </w:rPr>
      </w:pPr>
      <w:r>
        <w:rPr>
          <w:rFonts w:hint="eastAsia" w:ascii="宋体" w:hAnsi="宋体" w:cs="宋体"/>
          <w:spacing w:val="0"/>
          <w:kern w:val="2"/>
          <w:sz w:val="21"/>
          <w:szCs w:val="21"/>
          <w:highlight w:val="none"/>
        </w:rPr>
        <w:t>付费购买，或由被抽样商家无偿提供。</w:t>
      </w:r>
    </w:p>
    <w:p w14:paraId="4FA308B4">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注意事项</w:t>
      </w:r>
    </w:p>
    <w:p w14:paraId="05E72D39">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2724F136">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314D8F2A">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403EFFDA">
      <w:pPr>
        <w:spacing w:line="360" w:lineRule="auto"/>
        <w:rPr>
          <w:rFonts w:ascii="宋体"/>
          <w:color w:val="00000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2</w:t>
      </w:r>
      <w:r>
        <w:rPr>
          <w:rFonts w:hint="eastAsia" w:ascii="宋体" w:cs="宋体"/>
          <w:color w:val="000000"/>
          <w:highlight w:val="none"/>
        </w:rPr>
        <w:t>。</w:t>
      </w:r>
    </w:p>
    <w:p w14:paraId="7C9CE3E2">
      <w:pPr>
        <w:snapToGrid w:val="0"/>
        <w:spacing w:line="360" w:lineRule="auto"/>
        <w:jc w:val="center"/>
        <w:rPr>
          <w:rFonts w:ascii="宋体"/>
          <w:color w:val="000000"/>
          <w:highlight w:val="none"/>
        </w:rPr>
      </w:pPr>
      <w:r>
        <w:rPr>
          <w:rFonts w:hint="eastAsia" w:ascii="宋体" w:cs="宋体"/>
          <w:color w:val="000000"/>
          <w:highlight w:val="none"/>
        </w:rPr>
        <w:t>表</w:t>
      </w:r>
      <w:r>
        <w:rPr>
          <w:rFonts w:ascii="宋体" w:cs="宋体"/>
          <w:color w:val="000000"/>
          <w:highlight w:val="none"/>
        </w:rPr>
        <w:t xml:space="preserve">2 </w:t>
      </w:r>
      <w:r>
        <w:rPr>
          <w:rFonts w:hint="eastAsia" w:cs="宋体"/>
          <w:highlight w:val="none"/>
        </w:rPr>
        <w:t>婴幼儿</w:t>
      </w:r>
      <w:r>
        <w:rPr>
          <w:rFonts w:hint="eastAsia" w:cs="宋体"/>
          <w:highlight w:val="none"/>
          <w:lang w:val="en-US" w:eastAsia="zh-CN"/>
        </w:rPr>
        <w:t>服装</w:t>
      </w:r>
      <w:r>
        <w:rPr>
          <w:rFonts w:hint="eastAsia" w:ascii="宋体" w:cs="宋体"/>
          <w:color w:val="000000"/>
          <w:highlight w:val="none"/>
        </w:rPr>
        <w:t>检验项目</w:t>
      </w:r>
      <w:r>
        <w:rPr>
          <w:rFonts w:hint="eastAsia" w:cs="宋体"/>
          <w:color w:val="000000"/>
          <w:highlight w:val="none"/>
        </w:rPr>
        <w:t>及重要程度分类</w:t>
      </w:r>
    </w:p>
    <w:tbl>
      <w:tblPr>
        <w:tblStyle w:val="7"/>
        <w:tblW w:w="481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gridCol w:w="2148"/>
        <w:gridCol w:w="1898"/>
        <w:gridCol w:w="2401"/>
        <w:gridCol w:w="1511"/>
        <w:gridCol w:w="1019"/>
      </w:tblGrid>
      <w:tr w14:paraId="633FF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blHeader/>
          <w:jc w:val="center"/>
        </w:trPr>
        <w:tc>
          <w:tcPr>
            <w:tcW w:w="323" w:type="pct"/>
            <w:noWrap/>
            <w:vAlign w:val="center"/>
          </w:tcPr>
          <w:p w14:paraId="3A65285D">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序号</w:t>
            </w:r>
          </w:p>
        </w:tc>
        <w:tc>
          <w:tcPr>
            <w:tcW w:w="1119" w:type="pct"/>
            <w:noWrap/>
            <w:vAlign w:val="center"/>
          </w:tcPr>
          <w:p w14:paraId="34215582">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检验项目</w:t>
            </w:r>
          </w:p>
        </w:tc>
        <w:tc>
          <w:tcPr>
            <w:tcW w:w="989" w:type="pct"/>
            <w:noWrap/>
            <w:vAlign w:val="center"/>
          </w:tcPr>
          <w:p w14:paraId="3A6E4E0E">
            <w:pPr>
              <w:adjustRightInd w:val="0"/>
              <w:snapToGrid w:val="0"/>
              <w:spacing w:line="360" w:lineRule="auto"/>
              <w:jc w:val="center"/>
              <w:rPr>
                <w:rFonts w:ascii="宋体"/>
                <w:color w:val="000000"/>
                <w:sz w:val="18"/>
                <w:szCs w:val="18"/>
                <w:highlight w:val="none"/>
              </w:rPr>
            </w:pPr>
            <w:r>
              <w:rPr>
                <w:rFonts w:hint="eastAsia" w:ascii="宋体" w:hAnsi="宋体" w:cs="宋体"/>
                <w:color w:val="000000"/>
                <w:sz w:val="18"/>
                <w:szCs w:val="18"/>
                <w:highlight w:val="none"/>
              </w:rPr>
              <w:t>依据标准</w:t>
            </w:r>
          </w:p>
        </w:tc>
        <w:tc>
          <w:tcPr>
            <w:tcW w:w="1251" w:type="pct"/>
            <w:noWrap/>
            <w:vAlign w:val="center"/>
          </w:tcPr>
          <w:p w14:paraId="20678922">
            <w:pPr>
              <w:adjustRightInd w:val="0"/>
              <w:snapToGrid w:val="0"/>
              <w:spacing w:line="360" w:lineRule="auto"/>
              <w:jc w:val="center"/>
              <w:rPr>
                <w:rFonts w:ascii="宋体"/>
                <w:color w:val="000000"/>
                <w:sz w:val="18"/>
                <w:szCs w:val="18"/>
                <w:highlight w:val="none"/>
              </w:rPr>
            </w:pPr>
            <w:r>
              <w:rPr>
                <w:rFonts w:hint="eastAsia" w:ascii="宋体" w:hAnsi="宋体" w:cs="宋体"/>
                <w:color w:val="000000"/>
                <w:sz w:val="18"/>
                <w:szCs w:val="18"/>
                <w:highlight w:val="none"/>
              </w:rPr>
              <w:t>检验方法</w:t>
            </w:r>
          </w:p>
        </w:tc>
        <w:tc>
          <w:tcPr>
            <w:tcW w:w="787" w:type="pct"/>
            <w:noWrap/>
            <w:vAlign w:val="center"/>
          </w:tcPr>
          <w:p w14:paraId="07F5CAC2">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重要程度类别</w:t>
            </w:r>
          </w:p>
        </w:tc>
        <w:tc>
          <w:tcPr>
            <w:tcW w:w="528" w:type="pct"/>
            <w:noWrap/>
            <w:vAlign w:val="center"/>
          </w:tcPr>
          <w:p w14:paraId="26CE72D9">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备注</w:t>
            </w:r>
          </w:p>
        </w:tc>
      </w:tr>
      <w:tr w14:paraId="52683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9" w:hRule="atLeast"/>
          <w:jc w:val="center"/>
        </w:trPr>
        <w:tc>
          <w:tcPr>
            <w:tcW w:w="323" w:type="pct"/>
            <w:noWrap/>
            <w:vAlign w:val="center"/>
          </w:tcPr>
          <w:p w14:paraId="1381587B">
            <w:pPr>
              <w:adjustRightInd w:val="0"/>
              <w:snapToGrid w:val="0"/>
              <w:spacing w:line="360" w:lineRule="auto"/>
              <w:jc w:val="center"/>
              <w:rPr>
                <w:rFonts w:ascii="宋体"/>
                <w:color w:val="000000"/>
                <w:sz w:val="18"/>
                <w:szCs w:val="18"/>
                <w:highlight w:val="none"/>
              </w:rPr>
            </w:pPr>
            <w:r>
              <w:rPr>
                <w:rFonts w:ascii="宋体" w:hAnsi="宋体" w:cs="宋体"/>
                <w:color w:val="000000"/>
                <w:sz w:val="18"/>
                <w:szCs w:val="18"/>
                <w:highlight w:val="none"/>
              </w:rPr>
              <w:t>1</w:t>
            </w:r>
          </w:p>
        </w:tc>
        <w:tc>
          <w:tcPr>
            <w:tcW w:w="1119" w:type="pct"/>
            <w:noWrap/>
            <w:vAlign w:val="center"/>
          </w:tcPr>
          <w:p w14:paraId="4D12CECE">
            <w:pPr>
              <w:snapToGrid w:val="0"/>
              <w:jc w:val="center"/>
              <w:rPr>
                <w:rFonts w:ascii="宋体"/>
                <w:color w:val="000000"/>
                <w:sz w:val="18"/>
                <w:szCs w:val="18"/>
                <w:highlight w:val="none"/>
              </w:rPr>
            </w:pPr>
            <w:r>
              <w:rPr>
                <w:rFonts w:ascii="宋体" w:hAnsi="宋体" w:cs="Arial"/>
                <w:color w:val="333333"/>
                <w:sz w:val="18"/>
                <w:szCs w:val="18"/>
                <w:highlight w:val="none"/>
              </w:rPr>
              <w:t>纤维含量偏差</w:t>
            </w:r>
          </w:p>
        </w:tc>
        <w:tc>
          <w:tcPr>
            <w:tcW w:w="989" w:type="pct"/>
            <w:vMerge w:val="restart"/>
            <w:noWrap/>
            <w:vAlign w:val="center"/>
          </w:tcPr>
          <w:p w14:paraId="4BF9CFBB">
            <w:pPr>
              <w:snapToGrid w:val="0"/>
              <w:spacing w:before="60" w:after="60" w:line="312" w:lineRule="auto"/>
              <w:jc w:val="center"/>
              <w:rPr>
                <w:rFonts w:ascii="宋体" w:hAnsi="宋体" w:cs="Arial"/>
                <w:color w:val="333333"/>
                <w:sz w:val="18"/>
                <w:szCs w:val="18"/>
                <w:highlight w:val="none"/>
              </w:rPr>
            </w:pPr>
            <w:r>
              <w:rPr>
                <w:rFonts w:ascii="宋体" w:hAnsi="宋体" w:cs="Arial"/>
                <w:color w:val="333333"/>
                <w:sz w:val="18"/>
                <w:szCs w:val="18"/>
                <w:highlight w:val="none"/>
              </w:rPr>
              <w:t>GB/T 33271-2016</w:t>
            </w:r>
          </w:p>
          <w:p w14:paraId="6BC21C66">
            <w:pPr>
              <w:snapToGrid w:val="0"/>
              <w:spacing w:before="60" w:after="60" w:line="312" w:lineRule="auto"/>
              <w:jc w:val="center"/>
              <w:rPr>
                <w:rFonts w:ascii="宋体" w:hAnsi="宋体" w:cs="Arial"/>
                <w:color w:val="333333"/>
                <w:sz w:val="18"/>
                <w:szCs w:val="18"/>
                <w:highlight w:val="none"/>
              </w:rPr>
            </w:pPr>
            <w:r>
              <w:rPr>
                <w:rFonts w:ascii="宋体" w:hAnsi="宋体" w:cs="Arial"/>
                <w:color w:val="333333"/>
                <w:sz w:val="18"/>
                <w:szCs w:val="18"/>
                <w:highlight w:val="none"/>
              </w:rPr>
              <w:t>GB/T 39508-2020</w:t>
            </w:r>
          </w:p>
          <w:p w14:paraId="50E72EEF">
            <w:pPr>
              <w:snapToGrid w:val="0"/>
              <w:spacing w:before="60" w:after="60" w:line="312" w:lineRule="auto"/>
              <w:jc w:val="center"/>
              <w:rPr>
                <w:rFonts w:ascii="宋体" w:hAnsi="宋体" w:cs="Arial"/>
                <w:color w:val="333333"/>
                <w:sz w:val="18"/>
                <w:szCs w:val="18"/>
                <w:highlight w:val="none"/>
              </w:rPr>
            </w:pPr>
            <w:r>
              <w:rPr>
                <w:rFonts w:ascii="宋体" w:hAnsi="宋体" w:cs="Arial"/>
                <w:color w:val="333333"/>
                <w:sz w:val="18"/>
                <w:szCs w:val="18"/>
                <w:highlight w:val="none"/>
              </w:rPr>
              <w:t>GB 31701-2015</w:t>
            </w:r>
          </w:p>
          <w:p w14:paraId="036613F2">
            <w:pPr>
              <w:adjustRightInd w:val="0"/>
              <w:snapToGrid w:val="0"/>
              <w:spacing w:line="360" w:lineRule="auto"/>
              <w:jc w:val="center"/>
              <w:rPr>
                <w:rFonts w:ascii="宋体"/>
                <w:color w:val="000000"/>
                <w:sz w:val="18"/>
                <w:szCs w:val="18"/>
                <w:highlight w:val="none"/>
              </w:rPr>
            </w:pPr>
            <w:r>
              <w:rPr>
                <w:rFonts w:ascii="宋体" w:hAnsi="宋体" w:cs="Arial"/>
                <w:color w:val="333333"/>
                <w:sz w:val="18"/>
                <w:szCs w:val="18"/>
                <w:highlight w:val="none"/>
              </w:rPr>
              <w:t>FZ/T 73025-2019</w:t>
            </w:r>
          </w:p>
        </w:tc>
        <w:tc>
          <w:tcPr>
            <w:tcW w:w="1251" w:type="pct"/>
            <w:noWrap/>
            <w:vAlign w:val="center"/>
          </w:tcPr>
          <w:p w14:paraId="4C797670">
            <w:pPr>
              <w:snapToGrid w:val="0"/>
              <w:jc w:val="center"/>
              <w:rPr>
                <w:rFonts w:ascii="宋体" w:hAnsi="宋体" w:cs="Arial"/>
                <w:color w:val="333333"/>
                <w:sz w:val="18"/>
                <w:szCs w:val="18"/>
                <w:highlight w:val="none"/>
              </w:rPr>
            </w:pPr>
            <w:r>
              <w:rPr>
                <w:rFonts w:ascii="宋体" w:hAnsi="宋体" w:cs="Arial"/>
                <w:color w:val="333333"/>
                <w:sz w:val="18"/>
                <w:szCs w:val="18"/>
                <w:highlight w:val="none"/>
              </w:rPr>
              <w:t>FZ/T 01057.1—2007</w:t>
            </w:r>
          </w:p>
          <w:p w14:paraId="3EE7987B">
            <w:pPr>
              <w:snapToGrid w:val="0"/>
              <w:jc w:val="center"/>
              <w:rPr>
                <w:rFonts w:ascii="宋体" w:hAnsi="宋体" w:cs="Arial"/>
                <w:color w:val="333333"/>
                <w:sz w:val="18"/>
                <w:szCs w:val="18"/>
                <w:highlight w:val="none"/>
              </w:rPr>
            </w:pPr>
            <w:r>
              <w:rPr>
                <w:rFonts w:ascii="宋体" w:hAnsi="宋体" w:cs="Arial"/>
                <w:color w:val="333333"/>
                <w:sz w:val="18"/>
                <w:szCs w:val="18"/>
                <w:highlight w:val="none"/>
              </w:rPr>
              <w:t>FZ/T 01057.2—2007</w:t>
            </w:r>
          </w:p>
          <w:p w14:paraId="25F8D8FB">
            <w:pPr>
              <w:snapToGrid w:val="0"/>
              <w:jc w:val="center"/>
              <w:rPr>
                <w:rFonts w:ascii="宋体" w:hAnsi="宋体" w:cs="Arial"/>
                <w:color w:val="333333"/>
                <w:sz w:val="18"/>
                <w:szCs w:val="18"/>
                <w:highlight w:val="none"/>
              </w:rPr>
            </w:pPr>
            <w:r>
              <w:rPr>
                <w:rFonts w:ascii="宋体" w:hAnsi="宋体" w:cs="Arial"/>
                <w:color w:val="333333"/>
                <w:sz w:val="18"/>
                <w:szCs w:val="18"/>
                <w:highlight w:val="none"/>
              </w:rPr>
              <w:t>FZ/T 01057.3—2007</w:t>
            </w:r>
          </w:p>
          <w:p w14:paraId="48EE6AE9">
            <w:pPr>
              <w:snapToGrid w:val="0"/>
              <w:jc w:val="center"/>
              <w:rPr>
                <w:rFonts w:ascii="宋体" w:hAnsi="宋体" w:cs="Arial"/>
                <w:color w:val="333333"/>
                <w:sz w:val="18"/>
                <w:szCs w:val="18"/>
                <w:highlight w:val="none"/>
              </w:rPr>
            </w:pPr>
            <w:r>
              <w:rPr>
                <w:rFonts w:ascii="宋体" w:hAnsi="宋体" w:cs="Arial"/>
                <w:color w:val="333333"/>
                <w:sz w:val="18"/>
                <w:szCs w:val="18"/>
                <w:highlight w:val="none"/>
              </w:rPr>
              <w:t>FZ/T 01057.4—2007</w:t>
            </w:r>
          </w:p>
          <w:p w14:paraId="02308B0D">
            <w:pPr>
              <w:snapToGrid w:val="0"/>
              <w:jc w:val="center"/>
              <w:rPr>
                <w:rFonts w:ascii="宋体"/>
                <w:sz w:val="18"/>
                <w:szCs w:val="18"/>
                <w:highlight w:val="none"/>
              </w:rPr>
            </w:pPr>
            <w:r>
              <w:rPr>
                <w:rFonts w:hint="eastAsia" w:ascii="宋体" w:hAnsi="宋体" w:cs="Arial"/>
                <w:color w:val="333333"/>
                <w:sz w:val="18"/>
                <w:szCs w:val="18"/>
                <w:highlight w:val="none"/>
              </w:rPr>
              <w:t>GB/T 2910系列方法</w:t>
            </w:r>
          </w:p>
        </w:tc>
        <w:tc>
          <w:tcPr>
            <w:tcW w:w="787" w:type="pct"/>
            <w:noWrap/>
            <w:vAlign w:val="center"/>
          </w:tcPr>
          <w:p w14:paraId="7A2713F7">
            <w:pPr>
              <w:adjustRightInd w:val="0"/>
              <w:snapToGrid w:val="0"/>
              <w:spacing w:line="360" w:lineRule="auto"/>
              <w:jc w:val="center"/>
              <w:rPr>
                <w:rFonts w:ascii="宋体"/>
                <w:sz w:val="18"/>
                <w:szCs w:val="18"/>
                <w:highlight w:val="none"/>
              </w:rPr>
            </w:pPr>
            <w:r>
              <w:rPr>
                <w:rFonts w:ascii="宋体" w:hAnsi="宋体" w:cs="宋体"/>
                <w:sz w:val="18"/>
                <w:szCs w:val="18"/>
                <w:highlight w:val="none"/>
              </w:rPr>
              <w:t>B</w:t>
            </w:r>
          </w:p>
        </w:tc>
        <w:tc>
          <w:tcPr>
            <w:tcW w:w="528" w:type="pct"/>
            <w:noWrap/>
            <w:vAlign w:val="center"/>
          </w:tcPr>
          <w:p w14:paraId="4DA61DCD">
            <w:pPr>
              <w:widowControl/>
              <w:adjustRightInd w:val="0"/>
              <w:snapToGrid w:val="0"/>
              <w:spacing w:line="360" w:lineRule="auto"/>
              <w:jc w:val="center"/>
              <w:rPr>
                <w:rFonts w:hint="eastAsia" w:ascii="宋体" w:eastAsia="宋体"/>
                <w:sz w:val="18"/>
                <w:szCs w:val="18"/>
                <w:highlight w:val="none"/>
                <w:lang w:val="en-US" w:eastAsia="zh-CN"/>
              </w:rPr>
            </w:pPr>
            <w:r>
              <w:rPr>
                <w:rFonts w:hint="eastAsia" w:ascii="宋体"/>
                <w:sz w:val="18"/>
                <w:szCs w:val="18"/>
                <w:highlight w:val="none"/>
                <w:lang w:val="en-US" w:eastAsia="zh-CN"/>
              </w:rPr>
              <w:t>/</w:t>
            </w:r>
          </w:p>
        </w:tc>
      </w:tr>
      <w:tr w14:paraId="3CE9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323" w:type="pct"/>
            <w:noWrap/>
            <w:vAlign w:val="center"/>
          </w:tcPr>
          <w:p w14:paraId="5527E8D8">
            <w:pPr>
              <w:adjustRightInd w:val="0"/>
              <w:snapToGrid w:val="0"/>
              <w:spacing w:line="360" w:lineRule="auto"/>
              <w:jc w:val="center"/>
              <w:rPr>
                <w:rFonts w:ascii="宋体"/>
                <w:color w:val="000000"/>
                <w:sz w:val="18"/>
                <w:szCs w:val="18"/>
                <w:highlight w:val="none"/>
              </w:rPr>
            </w:pPr>
            <w:r>
              <w:rPr>
                <w:rFonts w:ascii="宋体" w:hAnsi="宋体" w:cs="宋体"/>
                <w:color w:val="000000"/>
                <w:sz w:val="18"/>
                <w:szCs w:val="18"/>
                <w:highlight w:val="none"/>
              </w:rPr>
              <w:t>2</w:t>
            </w:r>
          </w:p>
        </w:tc>
        <w:tc>
          <w:tcPr>
            <w:tcW w:w="1119" w:type="pct"/>
            <w:noWrap/>
            <w:vAlign w:val="center"/>
          </w:tcPr>
          <w:p w14:paraId="30EE06EB">
            <w:pPr>
              <w:snapToGrid w:val="0"/>
              <w:jc w:val="center"/>
              <w:rPr>
                <w:rFonts w:ascii="宋体"/>
                <w:color w:val="000000"/>
                <w:sz w:val="18"/>
                <w:szCs w:val="18"/>
                <w:highlight w:val="none"/>
              </w:rPr>
            </w:pPr>
            <w:r>
              <w:rPr>
                <w:rFonts w:ascii="宋体" w:hAnsi="宋体" w:cs="Arial"/>
                <w:color w:val="333333"/>
                <w:sz w:val="18"/>
                <w:szCs w:val="18"/>
                <w:highlight w:val="none"/>
              </w:rPr>
              <w:t>pH值</w:t>
            </w:r>
          </w:p>
        </w:tc>
        <w:tc>
          <w:tcPr>
            <w:tcW w:w="989" w:type="pct"/>
            <w:vMerge w:val="continue"/>
            <w:noWrap/>
            <w:vAlign w:val="center"/>
          </w:tcPr>
          <w:p w14:paraId="6E2C7FB1">
            <w:pPr>
              <w:adjustRightInd w:val="0"/>
              <w:snapToGrid w:val="0"/>
              <w:spacing w:line="360" w:lineRule="auto"/>
              <w:jc w:val="center"/>
              <w:rPr>
                <w:rFonts w:ascii="宋体"/>
                <w:color w:val="000000"/>
                <w:sz w:val="18"/>
                <w:szCs w:val="18"/>
                <w:highlight w:val="none"/>
              </w:rPr>
            </w:pPr>
          </w:p>
        </w:tc>
        <w:tc>
          <w:tcPr>
            <w:tcW w:w="1251" w:type="pct"/>
            <w:noWrap/>
            <w:vAlign w:val="center"/>
          </w:tcPr>
          <w:p w14:paraId="316C4669">
            <w:pPr>
              <w:snapToGrid w:val="0"/>
              <w:jc w:val="center"/>
              <w:rPr>
                <w:rFonts w:ascii="宋体"/>
                <w:sz w:val="18"/>
                <w:szCs w:val="18"/>
                <w:highlight w:val="none"/>
              </w:rPr>
            </w:pPr>
            <w:r>
              <w:rPr>
                <w:rFonts w:ascii="宋体" w:hAnsi="宋体" w:cs="Arial"/>
                <w:color w:val="333333"/>
                <w:sz w:val="18"/>
                <w:szCs w:val="18"/>
                <w:highlight w:val="none"/>
              </w:rPr>
              <w:t>GB/T 7573-2009</w:t>
            </w:r>
          </w:p>
        </w:tc>
        <w:tc>
          <w:tcPr>
            <w:tcW w:w="787" w:type="pct"/>
            <w:noWrap/>
            <w:vAlign w:val="center"/>
          </w:tcPr>
          <w:p w14:paraId="6D363205">
            <w:pPr>
              <w:adjustRightInd w:val="0"/>
              <w:snapToGrid w:val="0"/>
              <w:spacing w:line="360" w:lineRule="auto"/>
              <w:jc w:val="center"/>
              <w:rPr>
                <w:rFonts w:ascii="宋体" w:cs="宋体"/>
                <w:sz w:val="18"/>
                <w:szCs w:val="18"/>
                <w:highlight w:val="none"/>
              </w:rPr>
            </w:pPr>
            <w:r>
              <w:rPr>
                <w:rFonts w:ascii="宋体" w:hAnsi="宋体" w:cs="宋体"/>
                <w:sz w:val="18"/>
                <w:szCs w:val="18"/>
                <w:highlight w:val="none"/>
              </w:rPr>
              <w:t>A</w:t>
            </w:r>
          </w:p>
        </w:tc>
        <w:tc>
          <w:tcPr>
            <w:tcW w:w="528" w:type="pct"/>
            <w:noWrap/>
            <w:vAlign w:val="center"/>
          </w:tcPr>
          <w:p w14:paraId="696FB436">
            <w:pPr>
              <w:adjustRightInd w:val="0"/>
              <w:snapToGrid w:val="0"/>
              <w:spacing w:line="360" w:lineRule="auto"/>
              <w:jc w:val="center"/>
              <w:rPr>
                <w:rFonts w:ascii="宋体"/>
                <w:b/>
                <w:bCs/>
                <w:sz w:val="18"/>
                <w:szCs w:val="18"/>
                <w:highlight w:val="none"/>
              </w:rPr>
            </w:pPr>
            <w:r>
              <w:rPr>
                <w:rFonts w:hint="eastAsia" w:ascii="宋体"/>
                <w:sz w:val="18"/>
                <w:szCs w:val="18"/>
                <w:highlight w:val="none"/>
                <w:lang w:val="en-US" w:eastAsia="zh-CN"/>
              </w:rPr>
              <w:t>/</w:t>
            </w:r>
          </w:p>
        </w:tc>
      </w:tr>
      <w:tr w14:paraId="158B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323" w:type="pct"/>
            <w:noWrap/>
            <w:vAlign w:val="center"/>
          </w:tcPr>
          <w:p w14:paraId="31E83D05">
            <w:pPr>
              <w:adjustRightInd w:val="0"/>
              <w:snapToGrid w:val="0"/>
              <w:spacing w:line="360" w:lineRule="auto"/>
              <w:jc w:val="center"/>
              <w:rPr>
                <w:rFonts w:ascii="宋体"/>
                <w:color w:val="000000"/>
                <w:sz w:val="18"/>
                <w:szCs w:val="18"/>
                <w:highlight w:val="none"/>
              </w:rPr>
            </w:pPr>
            <w:r>
              <w:rPr>
                <w:rFonts w:ascii="宋体" w:hAnsi="宋体" w:cs="宋体"/>
                <w:color w:val="000000"/>
                <w:sz w:val="18"/>
                <w:szCs w:val="18"/>
                <w:highlight w:val="none"/>
              </w:rPr>
              <w:t>3</w:t>
            </w:r>
          </w:p>
        </w:tc>
        <w:tc>
          <w:tcPr>
            <w:tcW w:w="1119" w:type="pct"/>
            <w:noWrap/>
            <w:vAlign w:val="center"/>
          </w:tcPr>
          <w:p w14:paraId="2C1664C6">
            <w:pPr>
              <w:snapToGrid w:val="0"/>
              <w:jc w:val="center"/>
              <w:rPr>
                <w:rFonts w:ascii="宋体"/>
                <w:color w:val="000000"/>
                <w:sz w:val="18"/>
                <w:szCs w:val="18"/>
                <w:highlight w:val="none"/>
              </w:rPr>
            </w:pPr>
            <w:r>
              <w:rPr>
                <w:rFonts w:ascii="宋体" w:hAnsi="宋体" w:cs="Arial"/>
                <w:color w:val="333333"/>
                <w:sz w:val="18"/>
                <w:szCs w:val="18"/>
                <w:highlight w:val="none"/>
              </w:rPr>
              <w:t>异味</w:t>
            </w:r>
          </w:p>
        </w:tc>
        <w:tc>
          <w:tcPr>
            <w:tcW w:w="989" w:type="pct"/>
            <w:vMerge w:val="continue"/>
            <w:noWrap/>
            <w:vAlign w:val="center"/>
          </w:tcPr>
          <w:p w14:paraId="08E0EE1A">
            <w:pPr>
              <w:adjustRightInd w:val="0"/>
              <w:snapToGrid w:val="0"/>
              <w:spacing w:line="360" w:lineRule="auto"/>
              <w:jc w:val="center"/>
              <w:rPr>
                <w:rFonts w:ascii="宋体"/>
                <w:color w:val="000000"/>
                <w:sz w:val="18"/>
                <w:szCs w:val="18"/>
                <w:highlight w:val="none"/>
              </w:rPr>
            </w:pPr>
          </w:p>
        </w:tc>
        <w:tc>
          <w:tcPr>
            <w:tcW w:w="1251" w:type="pct"/>
            <w:noWrap/>
            <w:vAlign w:val="center"/>
          </w:tcPr>
          <w:p w14:paraId="3C9600F1">
            <w:pPr>
              <w:snapToGrid w:val="0"/>
              <w:jc w:val="center"/>
              <w:rPr>
                <w:rFonts w:ascii="宋体"/>
                <w:sz w:val="18"/>
                <w:szCs w:val="18"/>
                <w:highlight w:val="none"/>
              </w:rPr>
            </w:pPr>
            <w:r>
              <w:rPr>
                <w:rFonts w:ascii="宋体" w:hAnsi="宋体" w:cs="Arial"/>
                <w:color w:val="333333"/>
                <w:sz w:val="18"/>
                <w:szCs w:val="18"/>
                <w:highlight w:val="none"/>
              </w:rPr>
              <w:t>GB 18401-2010</w:t>
            </w:r>
          </w:p>
        </w:tc>
        <w:tc>
          <w:tcPr>
            <w:tcW w:w="787" w:type="pct"/>
            <w:noWrap/>
            <w:vAlign w:val="center"/>
          </w:tcPr>
          <w:p w14:paraId="775A59FB">
            <w:pPr>
              <w:adjustRightInd w:val="0"/>
              <w:snapToGrid w:val="0"/>
              <w:spacing w:line="360" w:lineRule="auto"/>
              <w:jc w:val="center"/>
              <w:rPr>
                <w:rFonts w:ascii="宋体" w:cs="宋体"/>
                <w:sz w:val="18"/>
                <w:szCs w:val="18"/>
                <w:highlight w:val="none"/>
              </w:rPr>
            </w:pPr>
            <w:r>
              <w:rPr>
                <w:rFonts w:ascii="宋体" w:hAnsi="宋体" w:cs="宋体"/>
                <w:sz w:val="18"/>
                <w:szCs w:val="18"/>
                <w:highlight w:val="none"/>
              </w:rPr>
              <w:t>A</w:t>
            </w:r>
          </w:p>
        </w:tc>
        <w:tc>
          <w:tcPr>
            <w:tcW w:w="528" w:type="pct"/>
            <w:noWrap/>
            <w:vAlign w:val="center"/>
          </w:tcPr>
          <w:p w14:paraId="0611B8B4">
            <w:pPr>
              <w:adjustRightInd w:val="0"/>
              <w:snapToGrid w:val="0"/>
              <w:spacing w:line="360" w:lineRule="auto"/>
              <w:jc w:val="center"/>
              <w:rPr>
                <w:rFonts w:ascii="宋体" w:cs="宋体"/>
                <w:sz w:val="18"/>
                <w:szCs w:val="18"/>
                <w:highlight w:val="none"/>
              </w:rPr>
            </w:pPr>
            <w:r>
              <w:rPr>
                <w:rFonts w:hint="eastAsia" w:ascii="宋体"/>
                <w:sz w:val="18"/>
                <w:szCs w:val="18"/>
                <w:highlight w:val="none"/>
                <w:lang w:val="en-US" w:eastAsia="zh-CN"/>
              </w:rPr>
              <w:t>/</w:t>
            </w:r>
          </w:p>
        </w:tc>
      </w:tr>
      <w:tr w14:paraId="7A45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323" w:type="pct"/>
            <w:noWrap/>
            <w:vAlign w:val="center"/>
          </w:tcPr>
          <w:p w14:paraId="67C0B82A">
            <w:pPr>
              <w:adjustRightInd w:val="0"/>
              <w:snapToGrid w:val="0"/>
              <w:spacing w:line="360" w:lineRule="auto"/>
              <w:jc w:val="center"/>
              <w:rPr>
                <w:rFonts w:ascii="宋体" w:hAnsi="宋体" w:cs="宋体"/>
                <w:color w:val="000000"/>
                <w:sz w:val="18"/>
                <w:szCs w:val="18"/>
                <w:highlight w:val="none"/>
              </w:rPr>
            </w:pPr>
            <w:r>
              <w:rPr>
                <w:rFonts w:hint="eastAsia" w:ascii="宋体" w:hAnsi="宋体" w:cs="宋体"/>
                <w:color w:val="000000"/>
                <w:sz w:val="18"/>
                <w:szCs w:val="18"/>
                <w:highlight w:val="none"/>
              </w:rPr>
              <w:t>4</w:t>
            </w:r>
          </w:p>
        </w:tc>
        <w:tc>
          <w:tcPr>
            <w:tcW w:w="1119" w:type="pct"/>
            <w:noWrap/>
            <w:vAlign w:val="center"/>
          </w:tcPr>
          <w:p w14:paraId="6D198204">
            <w:pPr>
              <w:snapToGrid w:val="0"/>
              <w:jc w:val="center"/>
              <w:rPr>
                <w:rFonts w:ascii="宋体" w:hAnsi="宋体" w:cs="Arial"/>
                <w:color w:val="333333"/>
                <w:sz w:val="18"/>
                <w:szCs w:val="18"/>
                <w:highlight w:val="none"/>
              </w:rPr>
            </w:pPr>
            <w:r>
              <w:rPr>
                <w:rFonts w:ascii="宋体" w:hAnsi="宋体" w:cs="Arial"/>
                <w:color w:val="333333"/>
                <w:sz w:val="18"/>
                <w:szCs w:val="18"/>
                <w:highlight w:val="none"/>
              </w:rPr>
              <w:t>耐</w:t>
            </w:r>
            <w:r>
              <w:rPr>
                <w:rFonts w:hint="eastAsia" w:ascii="宋体" w:hAnsi="宋体" w:cs="Arial"/>
                <w:color w:val="333333"/>
                <w:sz w:val="18"/>
                <w:szCs w:val="18"/>
                <w:highlight w:val="none"/>
                <w:lang w:val="en-US" w:eastAsia="zh-CN"/>
              </w:rPr>
              <w:t>皂</w:t>
            </w:r>
            <w:r>
              <w:rPr>
                <w:rFonts w:ascii="宋体" w:hAnsi="宋体" w:cs="Arial"/>
                <w:color w:val="333333"/>
                <w:sz w:val="18"/>
                <w:szCs w:val="18"/>
                <w:highlight w:val="none"/>
              </w:rPr>
              <w:t>洗色牢度</w:t>
            </w:r>
          </w:p>
        </w:tc>
        <w:tc>
          <w:tcPr>
            <w:tcW w:w="989" w:type="pct"/>
            <w:vMerge w:val="continue"/>
            <w:noWrap/>
            <w:vAlign w:val="center"/>
          </w:tcPr>
          <w:p w14:paraId="7165FBE1">
            <w:pPr>
              <w:adjustRightInd w:val="0"/>
              <w:snapToGrid w:val="0"/>
              <w:spacing w:line="360" w:lineRule="auto"/>
              <w:jc w:val="center"/>
              <w:rPr>
                <w:rFonts w:ascii="宋体" w:hAnsi="宋体" w:cs="Arial"/>
                <w:color w:val="333333"/>
                <w:sz w:val="18"/>
                <w:szCs w:val="18"/>
                <w:highlight w:val="none"/>
              </w:rPr>
            </w:pPr>
          </w:p>
        </w:tc>
        <w:tc>
          <w:tcPr>
            <w:tcW w:w="1251" w:type="pct"/>
            <w:noWrap/>
            <w:vAlign w:val="center"/>
          </w:tcPr>
          <w:p w14:paraId="71121CA9">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GB/T 3921-2008</w:t>
            </w:r>
          </w:p>
        </w:tc>
        <w:tc>
          <w:tcPr>
            <w:tcW w:w="787" w:type="pct"/>
            <w:noWrap/>
            <w:vAlign w:val="center"/>
          </w:tcPr>
          <w:p w14:paraId="1ACB3A31">
            <w:pPr>
              <w:adjustRightInd w:val="0"/>
              <w:snapToGrid w:val="0"/>
              <w:spacing w:line="360" w:lineRule="auto"/>
              <w:jc w:val="center"/>
              <w:rPr>
                <w:rFonts w:ascii="宋体" w:hAnsi="宋体" w:cs="宋体"/>
                <w:sz w:val="18"/>
                <w:szCs w:val="18"/>
                <w:highlight w:val="none"/>
              </w:rPr>
            </w:pPr>
            <w:r>
              <w:rPr>
                <w:rFonts w:hint="eastAsia" w:ascii="宋体" w:hAnsi="宋体" w:cs="宋体"/>
                <w:sz w:val="18"/>
                <w:szCs w:val="18"/>
                <w:highlight w:val="none"/>
              </w:rPr>
              <w:t>B</w:t>
            </w:r>
          </w:p>
        </w:tc>
        <w:tc>
          <w:tcPr>
            <w:tcW w:w="528" w:type="pct"/>
            <w:noWrap/>
            <w:vAlign w:val="center"/>
          </w:tcPr>
          <w:p w14:paraId="52A8AE9E">
            <w:pPr>
              <w:adjustRightInd w:val="0"/>
              <w:snapToGrid w:val="0"/>
              <w:spacing w:line="360" w:lineRule="auto"/>
              <w:jc w:val="center"/>
              <w:rPr>
                <w:rFonts w:ascii="宋体" w:cs="宋体"/>
                <w:sz w:val="18"/>
                <w:szCs w:val="18"/>
                <w:highlight w:val="none"/>
              </w:rPr>
            </w:pPr>
            <w:r>
              <w:rPr>
                <w:rFonts w:hint="eastAsia" w:ascii="宋体"/>
                <w:sz w:val="18"/>
                <w:szCs w:val="18"/>
                <w:highlight w:val="none"/>
                <w:lang w:val="en-US" w:eastAsia="zh-CN"/>
              </w:rPr>
              <w:t>/</w:t>
            </w:r>
          </w:p>
        </w:tc>
      </w:tr>
      <w:tr w14:paraId="6006A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323" w:type="pct"/>
            <w:noWrap/>
            <w:vAlign w:val="center"/>
          </w:tcPr>
          <w:p w14:paraId="1FC5AE79">
            <w:pPr>
              <w:adjustRightInd w:val="0"/>
              <w:snapToGrid w:val="0"/>
              <w:spacing w:line="360" w:lineRule="auto"/>
              <w:jc w:val="center"/>
              <w:rPr>
                <w:rFonts w:ascii="宋体" w:hAnsi="宋体" w:cs="宋体"/>
                <w:color w:val="000000"/>
                <w:sz w:val="18"/>
                <w:szCs w:val="18"/>
                <w:highlight w:val="none"/>
              </w:rPr>
            </w:pPr>
            <w:r>
              <w:rPr>
                <w:rFonts w:hint="eastAsia" w:ascii="宋体" w:hAnsi="宋体" w:cs="宋体"/>
                <w:color w:val="000000"/>
                <w:sz w:val="18"/>
                <w:szCs w:val="18"/>
                <w:highlight w:val="none"/>
              </w:rPr>
              <w:t>5</w:t>
            </w:r>
          </w:p>
        </w:tc>
        <w:tc>
          <w:tcPr>
            <w:tcW w:w="1119" w:type="pct"/>
            <w:noWrap/>
            <w:vAlign w:val="center"/>
          </w:tcPr>
          <w:p w14:paraId="1AE76DBB">
            <w:pPr>
              <w:snapToGrid w:val="0"/>
              <w:jc w:val="center"/>
              <w:rPr>
                <w:rFonts w:ascii="宋体" w:hAnsi="宋体" w:cs="Arial"/>
                <w:color w:val="333333"/>
                <w:sz w:val="18"/>
                <w:szCs w:val="18"/>
                <w:highlight w:val="none"/>
              </w:rPr>
            </w:pPr>
            <w:r>
              <w:rPr>
                <w:rFonts w:ascii="宋体" w:hAnsi="宋体" w:cs="Arial"/>
                <w:color w:val="333333"/>
                <w:sz w:val="18"/>
                <w:szCs w:val="18"/>
                <w:highlight w:val="none"/>
              </w:rPr>
              <w:t>耐唾液色牢度</w:t>
            </w:r>
          </w:p>
        </w:tc>
        <w:tc>
          <w:tcPr>
            <w:tcW w:w="989" w:type="pct"/>
            <w:vMerge w:val="continue"/>
            <w:noWrap/>
            <w:vAlign w:val="center"/>
          </w:tcPr>
          <w:p w14:paraId="7CD1B7D1">
            <w:pPr>
              <w:adjustRightInd w:val="0"/>
              <w:snapToGrid w:val="0"/>
              <w:spacing w:line="360" w:lineRule="auto"/>
              <w:jc w:val="center"/>
              <w:rPr>
                <w:rFonts w:ascii="宋体" w:hAnsi="宋体" w:cs="Arial"/>
                <w:color w:val="333333"/>
                <w:sz w:val="18"/>
                <w:szCs w:val="18"/>
                <w:highlight w:val="none"/>
              </w:rPr>
            </w:pPr>
          </w:p>
        </w:tc>
        <w:tc>
          <w:tcPr>
            <w:tcW w:w="1251" w:type="pct"/>
            <w:noWrap/>
            <w:vAlign w:val="center"/>
          </w:tcPr>
          <w:p w14:paraId="0440C82E">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GB/T 18886-2019</w:t>
            </w:r>
          </w:p>
        </w:tc>
        <w:tc>
          <w:tcPr>
            <w:tcW w:w="787" w:type="pct"/>
            <w:noWrap/>
            <w:vAlign w:val="center"/>
          </w:tcPr>
          <w:p w14:paraId="690ED30A">
            <w:pPr>
              <w:adjustRightInd w:val="0"/>
              <w:snapToGrid w:val="0"/>
              <w:spacing w:line="360" w:lineRule="auto"/>
              <w:jc w:val="center"/>
              <w:rPr>
                <w:rFonts w:ascii="宋体" w:hAnsi="宋体" w:cs="宋体"/>
                <w:sz w:val="18"/>
                <w:szCs w:val="18"/>
                <w:highlight w:val="none"/>
              </w:rPr>
            </w:pPr>
            <w:r>
              <w:rPr>
                <w:rFonts w:hint="eastAsia" w:ascii="宋体" w:hAnsi="宋体" w:cs="宋体"/>
                <w:sz w:val="18"/>
                <w:szCs w:val="18"/>
                <w:highlight w:val="none"/>
              </w:rPr>
              <w:t>A</w:t>
            </w:r>
          </w:p>
        </w:tc>
        <w:tc>
          <w:tcPr>
            <w:tcW w:w="528" w:type="pct"/>
            <w:noWrap/>
            <w:vAlign w:val="center"/>
          </w:tcPr>
          <w:p w14:paraId="29D03392">
            <w:pPr>
              <w:adjustRightInd w:val="0"/>
              <w:snapToGrid w:val="0"/>
              <w:spacing w:line="360" w:lineRule="auto"/>
              <w:jc w:val="center"/>
              <w:rPr>
                <w:rFonts w:ascii="宋体" w:cs="宋体"/>
                <w:sz w:val="18"/>
                <w:szCs w:val="18"/>
                <w:highlight w:val="none"/>
              </w:rPr>
            </w:pPr>
            <w:r>
              <w:rPr>
                <w:rFonts w:hint="eastAsia" w:ascii="宋体"/>
                <w:sz w:val="18"/>
                <w:szCs w:val="18"/>
                <w:highlight w:val="none"/>
                <w:lang w:val="en-US" w:eastAsia="zh-CN"/>
              </w:rPr>
              <w:t>/</w:t>
            </w:r>
          </w:p>
        </w:tc>
      </w:tr>
      <w:tr w14:paraId="46E70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323" w:type="pct"/>
            <w:noWrap/>
            <w:vAlign w:val="center"/>
          </w:tcPr>
          <w:p w14:paraId="62CEA713">
            <w:pPr>
              <w:adjustRightInd w:val="0"/>
              <w:snapToGrid w:val="0"/>
              <w:spacing w:line="360" w:lineRule="auto"/>
              <w:jc w:val="center"/>
              <w:rPr>
                <w:rFonts w:ascii="宋体" w:hAnsi="宋体" w:cs="宋体"/>
                <w:color w:val="000000"/>
                <w:sz w:val="18"/>
                <w:szCs w:val="18"/>
                <w:highlight w:val="none"/>
              </w:rPr>
            </w:pPr>
            <w:r>
              <w:rPr>
                <w:rFonts w:hint="eastAsia" w:ascii="宋体" w:hAnsi="宋体" w:cs="宋体"/>
                <w:color w:val="000000"/>
                <w:sz w:val="18"/>
                <w:szCs w:val="18"/>
                <w:highlight w:val="none"/>
              </w:rPr>
              <w:t>6</w:t>
            </w:r>
          </w:p>
        </w:tc>
        <w:tc>
          <w:tcPr>
            <w:tcW w:w="1119" w:type="pct"/>
            <w:noWrap/>
            <w:vAlign w:val="center"/>
          </w:tcPr>
          <w:p w14:paraId="73156D13">
            <w:pPr>
              <w:snapToGrid w:val="0"/>
              <w:jc w:val="center"/>
              <w:rPr>
                <w:rFonts w:ascii="宋体" w:hAnsi="宋体" w:cs="Arial"/>
                <w:color w:val="333333"/>
                <w:sz w:val="18"/>
                <w:szCs w:val="18"/>
                <w:highlight w:val="none"/>
              </w:rPr>
            </w:pPr>
            <w:r>
              <w:rPr>
                <w:rFonts w:ascii="宋体" w:hAnsi="宋体" w:cs="Arial"/>
                <w:color w:val="333333"/>
                <w:sz w:val="18"/>
                <w:szCs w:val="18"/>
                <w:highlight w:val="none"/>
              </w:rPr>
              <w:t>耐汗渍色牢度</w:t>
            </w:r>
          </w:p>
        </w:tc>
        <w:tc>
          <w:tcPr>
            <w:tcW w:w="989" w:type="pct"/>
            <w:vMerge w:val="continue"/>
            <w:noWrap/>
            <w:vAlign w:val="center"/>
          </w:tcPr>
          <w:p w14:paraId="59C9259D">
            <w:pPr>
              <w:adjustRightInd w:val="0"/>
              <w:snapToGrid w:val="0"/>
              <w:spacing w:line="360" w:lineRule="auto"/>
              <w:jc w:val="center"/>
              <w:rPr>
                <w:rFonts w:ascii="宋体" w:hAnsi="宋体" w:cs="Arial"/>
                <w:color w:val="333333"/>
                <w:sz w:val="18"/>
                <w:szCs w:val="18"/>
                <w:highlight w:val="none"/>
              </w:rPr>
            </w:pPr>
          </w:p>
        </w:tc>
        <w:tc>
          <w:tcPr>
            <w:tcW w:w="1251" w:type="pct"/>
            <w:noWrap/>
            <w:vAlign w:val="center"/>
          </w:tcPr>
          <w:p w14:paraId="62D58172">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GB/T 3922-2013</w:t>
            </w:r>
          </w:p>
        </w:tc>
        <w:tc>
          <w:tcPr>
            <w:tcW w:w="787" w:type="pct"/>
            <w:noWrap/>
            <w:vAlign w:val="center"/>
          </w:tcPr>
          <w:p w14:paraId="39D45B81">
            <w:pPr>
              <w:adjustRightInd w:val="0"/>
              <w:snapToGrid w:val="0"/>
              <w:spacing w:line="360" w:lineRule="auto"/>
              <w:jc w:val="center"/>
              <w:rPr>
                <w:rFonts w:ascii="宋体" w:hAnsi="宋体" w:cs="宋体"/>
                <w:sz w:val="18"/>
                <w:szCs w:val="18"/>
                <w:highlight w:val="none"/>
              </w:rPr>
            </w:pPr>
            <w:r>
              <w:rPr>
                <w:rFonts w:ascii="宋体" w:hAnsi="宋体" w:cs="宋体"/>
                <w:sz w:val="18"/>
                <w:szCs w:val="18"/>
                <w:highlight w:val="none"/>
              </w:rPr>
              <w:t>A</w:t>
            </w:r>
          </w:p>
        </w:tc>
        <w:tc>
          <w:tcPr>
            <w:tcW w:w="528" w:type="pct"/>
            <w:noWrap/>
            <w:vAlign w:val="center"/>
          </w:tcPr>
          <w:p w14:paraId="04C3FFD9">
            <w:pPr>
              <w:adjustRightInd w:val="0"/>
              <w:snapToGrid w:val="0"/>
              <w:spacing w:line="360" w:lineRule="auto"/>
              <w:jc w:val="center"/>
              <w:rPr>
                <w:rFonts w:ascii="宋体" w:cs="宋体"/>
                <w:sz w:val="18"/>
                <w:szCs w:val="18"/>
                <w:highlight w:val="none"/>
              </w:rPr>
            </w:pPr>
            <w:r>
              <w:rPr>
                <w:rFonts w:hint="eastAsia" w:ascii="宋体"/>
                <w:sz w:val="18"/>
                <w:szCs w:val="18"/>
                <w:highlight w:val="none"/>
                <w:lang w:val="en-US" w:eastAsia="zh-CN"/>
              </w:rPr>
              <w:t>/</w:t>
            </w:r>
          </w:p>
        </w:tc>
      </w:tr>
      <w:tr w14:paraId="1CC68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323" w:type="pct"/>
            <w:noWrap/>
            <w:vAlign w:val="center"/>
          </w:tcPr>
          <w:p w14:paraId="00786059">
            <w:pPr>
              <w:adjustRightInd w:val="0"/>
              <w:snapToGrid w:val="0"/>
              <w:spacing w:line="360" w:lineRule="auto"/>
              <w:jc w:val="center"/>
              <w:rPr>
                <w:rFonts w:ascii="宋体" w:hAnsi="宋体" w:cs="宋体"/>
                <w:color w:val="000000"/>
                <w:sz w:val="18"/>
                <w:szCs w:val="18"/>
                <w:highlight w:val="none"/>
              </w:rPr>
            </w:pPr>
            <w:r>
              <w:rPr>
                <w:rFonts w:hint="eastAsia" w:ascii="宋体" w:hAnsi="宋体" w:cs="宋体"/>
                <w:color w:val="000000"/>
                <w:sz w:val="18"/>
                <w:szCs w:val="18"/>
                <w:highlight w:val="none"/>
              </w:rPr>
              <w:t>7</w:t>
            </w:r>
          </w:p>
        </w:tc>
        <w:tc>
          <w:tcPr>
            <w:tcW w:w="1119" w:type="pct"/>
            <w:noWrap/>
            <w:vAlign w:val="center"/>
          </w:tcPr>
          <w:p w14:paraId="05D477B4">
            <w:pPr>
              <w:snapToGrid w:val="0"/>
              <w:jc w:val="center"/>
              <w:rPr>
                <w:rFonts w:ascii="宋体" w:hAnsi="宋体" w:cs="Arial"/>
                <w:color w:val="333333"/>
                <w:sz w:val="18"/>
                <w:szCs w:val="18"/>
                <w:highlight w:val="none"/>
              </w:rPr>
            </w:pPr>
            <w:r>
              <w:rPr>
                <w:rFonts w:ascii="宋体" w:hAnsi="宋体" w:cs="Arial"/>
                <w:color w:val="333333"/>
                <w:sz w:val="18"/>
                <w:szCs w:val="18"/>
                <w:highlight w:val="none"/>
              </w:rPr>
              <w:t>耐水色牢度</w:t>
            </w:r>
          </w:p>
        </w:tc>
        <w:tc>
          <w:tcPr>
            <w:tcW w:w="989" w:type="pct"/>
            <w:vMerge w:val="continue"/>
            <w:noWrap/>
            <w:vAlign w:val="center"/>
          </w:tcPr>
          <w:p w14:paraId="5214DA24">
            <w:pPr>
              <w:adjustRightInd w:val="0"/>
              <w:snapToGrid w:val="0"/>
              <w:spacing w:line="360" w:lineRule="auto"/>
              <w:jc w:val="center"/>
              <w:rPr>
                <w:rFonts w:ascii="宋体" w:hAnsi="宋体" w:cs="Arial"/>
                <w:color w:val="333333"/>
                <w:sz w:val="18"/>
                <w:szCs w:val="18"/>
                <w:highlight w:val="none"/>
              </w:rPr>
            </w:pPr>
          </w:p>
        </w:tc>
        <w:tc>
          <w:tcPr>
            <w:tcW w:w="1251" w:type="pct"/>
            <w:noWrap/>
            <w:vAlign w:val="center"/>
          </w:tcPr>
          <w:p w14:paraId="6828BBD0">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GB/T 5713-2013</w:t>
            </w:r>
          </w:p>
        </w:tc>
        <w:tc>
          <w:tcPr>
            <w:tcW w:w="787" w:type="pct"/>
            <w:noWrap/>
            <w:vAlign w:val="center"/>
          </w:tcPr>
          <w:p w14:paraId="5C3C26CB">
            <w:pPr>
              <w:adjustRightInd w:val="0"/>
              <w:snapToGrid w:val="0"/>
              <w:spacing w:line="360" w:lineRule="auto"/>
              <w:jc w:val="center"/>
              <w:rPr>
                <w:rFonts w:ascii="宋体" w:hAnsi="宋体" w:cs="宋体"/>
                <w:sz w:val="18"/>
                <w:szCs w:val="18"/>
                <w:highlight w:val="none"/>
              </w:rPr>
            </w:pPr>
            <w:r>
              <w:rPr>
                <w:rFonts w:ascii="宋体" w:hAnsi="宋体" w:cs="宋体"/>
                <w:sz w:val="18"/>
                <w:szCs w:val="18"/>
                <w:highlight w:val="none"/>
              </w:rPr>
              <w:t>A</w:t>
            </w:r>
          </w:p>
        </w:tc>
        <w:tc>
          <w:tcPr>
            <w:tcW w:w="528" w:type="pct"/>
            <w:noWrap/>
            <w:vAlign w:val="center"/>
          </w:tcPr>
          <w:p w14:paraId="38ADB9A7">
            <w:pPr>
              <w:adjustRightInd w:val="0"/>
              <w:snapToGrid w:val="0"/>
              <w:spacing w:line="360" w:lineRule="auto"/>
              <w:jc w:val="center"/>
              <w:rPr>
                <w:rFonts w:ascii="宋体" w:cs="宋体"/>
                <w:sz w:val="18"/>
                <w:szCs w:val="18"/>
                <w:highlight w:val="none"/>
              </w:rPr>
            </w:pPr>
            <w:r>
              <w:rPr>
                <w:rFonts w:hint="eastAsia" w:ascii="宋体"/>
                <w:sz w:val="18"/>
                <w:szCs w:val="18"/>
                <w:highlight w:val="none"/>
                <w:lang w:val="en-US" w:eastAsia="zh-CN"/>
              </w:rPr>
              <w:t>/</w:t>
            </w:r>
          </w:p>
        </w:tc>
      </w:tr>
      <w:tr w14:paraId="242F9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323" w:type="pct"/>
            <w:noWrap/>
            <w:vAlign w:val="center"/>
          </w:tcPr>
          <w:p w14:paraId="42C2000F">
            <w:pPr>
              <w:adjustRightInd w:val="0"/>
              <w:snapToGrid w:val="0"/>
              <w:spacing w:line="360" w:lineRule="auto"/>
              <w:jc w:val="center"/>
              <w:rPr>
                <w:rFonts w:ascii="宋体"/>
                <w:color w:val="000000"/>
                <w:sz w:val="18"/>
                <w:szCs w:val="18"/>
                <w:highlight w:val="none"/>
              </w:rPr>
            </w:pPr>
            <w:r>
              <w:rPr>
                <w:rFonts w:ascii="宋体" w:hAnsi="宋体" w:cs="宋体"/>
                <w:color w:val="000000"/>
                <w:sz w:val="18"/>
                <w:szCs w:val="18"/>
                <w:highlight w:val="none"/>
              </w:rPr>
              <w:t>8</w:t>
            </w:r>
          </w:p>
        </w:tc>
        <w:tc>
          <w:tcPr>
            <w:tcW w:w="1119" w:type="pct"/>
            <w:noWrap/>
            <w:vAlign w:val="center"/>
          </w:tcPr>
          <w:p w14:paraId="4353E019">
            <w:pPr>
              <w:snapToGrid w:val="0"/>
              <w:jc w:val="center"/>
              <w:rPr>
                <w:rFonts w:ascii="宋体"/>
                <w:color w:val="000000"/>
                <w:sz w:val="18"/>
                <w:szCs w:val="18"/>
                <w:highlight w:val="none"/>
              </w:rPr>
            </w:pPr>
            <w:r>
              <w:rPr>
                <w:rFonts w:ascii="宋体" w:hAnsi="宋体" w:cs="Arial"/>
                <w:color w:val="333333"/>
                <w:sz w:val="18"/>
                <w:szCs w:val="18"/>
                <w:highlight w:val="none"/>
              </w:rPr>
              <w:t>耐摩擦色牢度</w:t>
            </w:r>
          </w:p>
        </w:tc>
        <w:tc>
          <w:tcPr>
            <w:tcW w:w="989" w:type="pct"/>
            <w:vMerge w:val="continue"/>
            <w:noWrap/>
            <w:vAlign w:val="center"/>
          </w:tcPr>
          <w:p w14:paraId="423B23DF">
            <w:pPr>
              <w:adjustRightInd w:val="0"/>
              <w:snapToGrid w:val="0"/>
              <w:spacing w:line="360" w:lineRule="auto"/>
              <w:jc w:val="center"/>
              <w:rPr>
                <w:rFonts w:ascii="宋体"/>
                <w:color w:val="000000"/>
                <w:sz w:val="18"/>
                <w:szCs w:val="18"/>
                <w:highlight w:val="none"/>
              </w:rPr>
            </w:pPr>
          </w:p>
        </w:tc>
        <w:tc>
          <w:tcPr>
            <w:tcW w:w="1251" w:type="pct"/>
            <w:noWrap/>
            <w:vAlign w:val="center"/>
          </w:tcPr>
          <w:p w14:paraId="662AAA9B">
            <w:pPr>
              <w:snapToGrid w:val="0"/>
              <w:jc w:val="center"/>
              <w:rPr>
                <w:rFonts w:ascii="宋体"/>
                <w:sz w:val="18"/>
                <w:szCs w:val="18"/>
                <w:highlight w:val="none"/>
              </w:rPr>
            </w:pPr>
            <w:r>
              <w:rPr>
                <w:rFonts w:ascii="宋体" w:hAnsi="宋体" w:cs="Arial"/>
                <w:color w:val="333333"/>
                <w:sz w:val="18"/>
                <w:szCs w:val="18"/>
                <w:highlight w:val="none"/>
              </w:rPr>
              <w:t>GB/T 3920-2008</w:t>
            </w:r>
          </w:p>
        </w:tc>
        <w:tc>
          <w:tcPr>
            <w:tcW w:w="787" w:type="pct"/>
            <w:noWrap/>
            <w:vAlign w:val="center"/>
          </w:tcPr>
          <w:p w14:paraId="6A66D24C">
            <w:pPr>
              <w:adjustRightInd w:val="0"/>
              <w:snapToGrid w:val="0"/>
              <w:spacing w:line="360" w:lineRule="auto"/>
              <w:jc w:val="center"/>
              <w:rPr>
                <w:rFonts w:ascii="宋体" w:cs="宋体"/>
                <w:sz w:val="18"/>
                <w:szCs w:val="18"/>
                <w:highlight w:val="none"/>
              </w:rPr>
            </w:pPr>
            <w:r>
              <w:rPr>
                <w:rFonts w:ascii="宋体" w:hAnsi="宋体" w:cs="宋体"/>
                <w:sz w:val="18"/>
                <w:szCs w:val="18"/>
                <w:highlight w:val="none"/>
              </w:rPr>
              <w:t>A</w:t>
            </w:r>
          </w:p>
        </w:tc>
        <w:tc>
          <w:tcPr>
            <w:tcW w:w="528" w:type="pct"/>
            <w:noWrap/>
            <w:vAlign w:val="center"/>
          </w:tcPr>
          <w:p w14:paraId="3AA1BA88">
            <w:pPr>
              <w:adjustRightInd w:val="0"/>
              <w:snapToGrid w:val="0"/>
              <w:spacing w:line="360" w:lineRule="auto"/>
              <w:jc w:val="center"/>
              <w:rPr>
                <w:rFonts w:ascii="宋体" w:cs="宋体"/>
                <w:sz w:val="18"/>
                <w:szCs w:val="18"/>
                <w:highlight w:val="none"/>
              </w:rPr>
            </w:pPr>
            <w:r>
              <w:rPr>
                <w:rFonts w:hint="eastAsia" w:ascii="宋体"/>
                <w:sz w:val="18"/>
                <w:szCs w:val="18"/>
                <w:highlight w:val="none"/>
                <w:lang w:val="en-US" w:eastAsia="zh-CN"/>
              </w:rPr>
              <w:t>/</w:t>
            </w:r>
          </w:p>
        </w:tc>
      </w:tr>
      <w:tr w14:paraId="75EC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323" w:type="pct"/>
            <w:noWrap/>
            <w:vAlign w:val="center"/>
          </w:tcPr>
          <w:p w14:paraId="4EA42A29">
            <w:pPr>
              <w:adjustRightInd w:val="0"/>
              <w:snapToGrid w:val="0"/>
              <w:spacing w:line="360" w:lineRule="auto"/>
              <w:jc w:val="center"/>
              <w:rPr>
                <w:rFonts w:ascii="宋体"/>
                <w:color w:val="000000"/>
                <w:sz w:val="18"/>
                <w:szCs w:val="18"/>
                <w:highlight w:val="none"/>
              </w:rPr>
            </w:pPr>
            <w:r>
              <w:rPr>
                <w:rFonts w:ascii="宋体" w:hAnsi="宋体" w:cs="宋体"/>
                <w:color w:val="000000"/>
                <w:sz w:val="18"/>
                <w:szCs w:val="18"/>
                <w:highlight w:val="none"/>
              </w:rPr>
              <w:t>9</w:t>
            </w:r>
          </w:p>
        </w:tc>
        <w:tc>
          <w:tcPr>
            <w:tcW w:w="1119" w:type="pct"/>
            <w:noWrap/>
            <w:vAlign w:val="center"/>
          </w:tcPr>
          <w:p w14:paraId="6BAD76EF">
            <w:pPr>
              <w:snapToGrid w:val="0"/>
              <w:jc w:val="center"/>
              <w:rPr>
                <w:rFonts w:hint="eastAsia" w:ascii="宋体" w:eastAsia="宋体"/>
                <w:color w:val="000000"/>
                <w:sz w:val="18"/>
                <w:szCs w:val="18"/>
                <w:highlight w:val="none"/>
                <w:lang w:eastAsia="zh-CN"/>
              </w:rPr>
            </w:pPr>
            <w:r>
              <w:rPr>
                <w:rFonts w:hint="eastAsia" w:ascii="宋体"/>
                <w:color w:val="000000"/>
                <w:sz w:val="18"/>
                <w:szCs w:val="18"/>
                <w:highlight w:val="none"/>
                <w:lang w:val="en-US" w:eastAsia="zh-CN"/>
              </w:rPr>
              <w:t>总铅</w:t>
            </w:r>
          </w:p>
        </w:tc>
        <w:tc>
          <w:tcPr>
            <w:tcW w:w="989" w:type="pct"/>
            <w:vMerge w:val="continue"/>
            <w:noWrap/>
            <w:vAlign w:val="center"/>
          </w:tcPr>
          <w:p w14:paraId="5455BC64">
            <w:pPr>
              <w:adjustRightInd w:val="0"/>
              <w:snapToGrid w:val="0"/>
              <w:spacing w:line="360" w:lineRule="auto"/>
              <w:jc w:val="center"/>
              <w:rPr>
                <w:rFonts w:ascii="宋体"/>
                <w:color w:val="000000"/>
                <w:sz w:val="18"/>
                <w:szCs w:val="18"/>
                <w:highlight w:val="none"/>
              </w:rPr>
            </w:pPr>
          </w:p>
        </w:tc>
        <w:tc>
          <w:tcPr>
            <w:tcW w:w="1251" w:type="pct"/>
            <w:noWrap/>
            <w:vAlign w:val="center"/>
          </w:tcPr>
          <w:p w14:paraId="03A5C5E9">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GB/T 30157-2013</w:t>
            </w:r>
          </w:p>
        </w:tc>
        <w:tc>
          <w:tcPr>
            <w:tcW w:w="787" w:type="pct"/>
            <w:noWrap/>
            <w:vAlign w:val="center"/>
          </w:tcPr>
          <w:p w14:paraId="09C98E84">
            <w:pPr>
              <w:adjustRightInd w:val="0"/>
              <w:snapToGrid w:val="0"/>
              <w:spacing w:line="360" w:lineRule="auto"/>
              <w:jc w:val="center"/>
              <w:rPr>
                <w:rFonts w:ascii="宋体" w:cs="宋体"/>
                <w:sz w:val="18"/>
                <w:szCs w:val="18"/>
                <w:highlight w:val="none"/>
              </w:rPr>
            </w:pPr>
            <w:r>
              <w:rPr>
                <w:rFonts w:ascii="宋体" w:hAnsi="宋体" w:cs="宋体"/>
                <w:sz w:val="18"/>
                <w:szCs w:val="18"/>
                <w:highlight w:val="none"/>
              </w:rPr>
              <w:t>A</w:t>
            </w:r>
          </w:p>
        </w:tc>
        <w:tc>
          <w:tcPr>
            <w:tcW w:w="528" w:type="pct"/>
            <w:noWrap/>
            <w:vAlign w:val="center"/>
          </w:tcPr>
          <w:p w14:paraId="5B2F8633">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26DD0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323" w:type="pct"/>
            <w:noWrap/>
            <w:vAlign w:val="center"/>
          </w:tcPr>
          <w:p w14:paraId="2CD2F09A">
            <w:pPr>
              <w:adjustRightInd w:val="0"/>
              <w:snapToGrid w:val="0"/>
              <w:spacing w:line="360" w:lineRule="auto"/>
              <w:jc w:val="center"/>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10</w:t>
            </w:r>
          </w:p>
        </w:tc>
        <w:tc>
          <w:tcPr>
            <w:tcW w:w="1119" w:type="pct"/>
            <w:noWrap/>
            <w:vAlign w:val="center"/>
          </w:tcPr>
          <w:p w14:paraId="385DAA69">
            <w:pPr>
              <w:snapToGrid w:val="0"/>
              <w:jc w:val="center"/>
              <w:rPr>
                <w:rFonts w:hint="eastAsia" w:ascii="宋体"/>
                <w:color w:val="000000"/>
                <w:sz w:val="18"/>
                <w:szCs w:val="18"/>
                <w:highlight w:val="none"/>
                <w:lang w:val="en-US" w:eastAsia="zh-CN"/>
              </w:rPr>
            </w:pPr>
            <w:r>
              <w:rPr>
                <w:rFonts w:hint="eastAsia" w:ascii="宋体"/>
                <w:color w:val="000000"/>
                <w:sz w:val="18"/>
                <w:szCs w:val="18"/>
                <w:highlight w:val="none"/>
                <w:lang w:val="en-US" w:eastAsia="zh-CN"/>
              </w:rPr>
              <w:t>总镉</w:t>
            </w:r>
          </w:p>
        </w:tc>
        <w:tc>
          <w:tcPr>
            <w:tcW w:w="989" w:type="pct"/>
            <w:vMerge w:val="continue"/>
            <w:noWrap/>
            <w:vAlign w:val="center"/>
          </w:tcPr>
          <w:p w14:paraId="7AA8DEEB">
            <w:pPr>
              <w:adjustRightInd w:val="0"/>
              <w:snapToGrid w:val="0"/>
              <w:spacing w:line="360" w:lineRule="auto"/>
              <w:jc w:val="center"/>
              <w:rPr>
                <w:rFonts w:ascii="宋体"/>
                <w:color w:val="000000"/>
                <w:sz w:val="18"/>
                <w:szCs w:val="18"/>
                <w:highlight w:val="none"/>
              </w:rPr>
            </w:pPr>
          </w:p>
        </w:tc>
        <w:tc>
          <w:tcPr>
            <w:tcW w:w="1251" w:type="pct"/>
            <w:noWrap/>
            <w:vAlign w:val="center"/>
          </w:tcPr>
          <w:p w14:paraId="233F962E">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GB/T 30157-2013</w:t>
            </w:r>
          </w:p>
        </w:tc>
        <w:tc>
          <w:tcPr>
            <w:tcW w:w="787" w:type="pct"/>
            <w:noWrap/>
            <w:vAlign w:val="center"/>
          </w:tcPr>
          <w:p w14:paraId="1649DC37">
            <w:pPr>
              <w:adjustRightInd w:val="0"/>
              <w:snapToGrid w:val="0"/>
              <w:spacing w:line="360" w:lineRule="auto"/>
              <w:jc w:val="center"/>
              <w:rPr>
                <w:rFonts w:ascii="宋体" w:hAnsi="宋体" w:cs="宋体"/>
                <w:sz w:val="18"/>
                <w:szCs w:val="18"/>
                <w:highlight w:val="none"/>
              </w:rPr>
            </w:pPr>
            <w:r>
              <w:rPr>
                <w:rFonts w:ascii="宋体" w:hAnsi="宋体" w:cs="宋体"/>
                <w:sz w:val="18"/>
                <w:szCs w:val="18"/>
                <w:highlight w:val="none"/>
              </w:rPr>
              <w:t>A</w:t>
            </w:r>
          </w:p>
        </w:tc>
        <w:tc>
          <w:tcPr>
            <w:tcW w:w="528" w:type="pct"/>
            <w:noWrap/>
            <w:vAlign w:val="center"/>
          </w:tcPr>
          <w:p w14:paraId="041F04B3">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76D9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5000" w:type="pct"/>
            <w:gridSpan w:val="6"/>
            <w:noWrap/>
            <w:vAlign w:val="center"/>
          </w:tcPr>
          <w:p w14:paraId="06ED3061">
            <w:pPr>
              <w:adjustRightInd w:val="0"/>
              <w:snapToGrid w:val="0"/>
              <w:spacing w:line="360" w:lineRule="auto"/>
              <w:rPr>
                <w:rFonts w:ascii="宋体"/>
                <w:color w:val="000000"/>
                <w:sz w:val="18"/>
                <w:szCs w:val="18"/>
                <w:highlight w:val="none"/>
              </w:rPr>
            </w:pPr>
            <w:r>
              <w:rPr>
                <w:rFonts w:ascii="宋体" w:hAnsi="宋体" w:cs="宋体"/>
                <w:color w:val="000000"/>
                <w:sz w:val="18"/>
                <w:szCs w:val="18"/>
                <w:highlight w:val="none"/>
              </w:rPr>
              <w:t>A</w:t>
            </w:r>
            <w:r>
              <w:rPr>
                <w:rFonts w:hint="eastAsia" w:ascii="宋体" w:hAnsi="宋体" w:cs="宋体"/>
                <w:color w:val="000000"/>
                <w:sz w:val="18"/>
                <w:szCs w:val="18"/>
                <w:highlight w:val="none"/>
              </w:rPr>
              <w:t>为极重要质量项目</w:t>
            </w:r>
          </w:p>
          <w:p w14:paraId="78BBE8AD">
            <w:pPr>
              <w:adjustRightInd w:val="0"/>
              <w:snapToGrid w:val="0"/>
              <w:spacing w:line="360" w:lineRule="auto"/>
              <w:rPr>
                <w:rFonts w:ascii="宋体"/>
                <w:sz w:val="18"/>
                <w:szCs w:val="18"/>
                <w:highlight w:val="none"/>
              </w:rPr>
            </w:pPr>
            <w:r>
              <w:rPr>
                <w:rFonts w:ascii="宋体" w:hAnsi="宋体" w:cs="宋体"/>
                <w:color w:val="000000"/>
                <w:sz w:val="18"/>
                <w:szCs w:val="18"/>
                <w:highlight w:val="none"/>
              </w:rPr>
              <w:t>B</w:t>
            </w:r>
            <w:r>
              <w:rPr>
                <w:rFonts w:hint="eastAsia" w:ascii="宋体" w:hAnsi="宋体" w:cs="宋体"/>
                <w:color w:val="000000"/>
                <w:sz w:val="18"/>
                <w:szCs w:val="18"/>
                <w:highlight w:val="none"/>
              </w:rPr>
              <w:t>为重要质量项目</w:t>
            </w:r>
          </w:p>
        </w:tc>
      </w:tr>
    </w:tbl>
    <w:p w14:paraId="44661B8D">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14:paraId="5C05C4E6">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14:paraId="370B108E">
      <w:pPr>
        <w:snapToGrid w:val="0"/>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7AEB944B">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bookmarkStart w:id="0" w:name="_GoBack"/>
      <w:bookmarkEnd w:id="0"/>
    </w:p>
    <w:p w14:paraId="0F697F13">
      <w:pPr>
        <w:spacing w:line="360" w:lineRule="auto"/>
        <w:rPr>
          <w:rFonts w:ascii="宋体" w:hAnsi="Courier New" w:eastAsia="宋体" w:cs="宋体"/>
          <w:kern w:val="2"/>
          <w:sz w:val="21"/>
          <w:szCs w:val="21"/>
          <w:highlight w:val="none"/>
          <w:lang w:val="en-US" w:eastAsia="zh-CN" w:bidi="ar-SA"/>
        </w:rPr>
      </w:pPr>
      <w:r>
        <w:rPr>
          <w:rFonts w:ascii="宋体" w:hAnsi="Courier New" w:eastAsia="宋体" w:cs="宋体"/>
          <w:kern w:val="2"/>
          <w:sz w:val="21"/>
          <w:szCs w:val="21"/>
          <w:highlight w:val="none"/>
          <w:lang w:val="en-US" w:eastAsia="zh-CN" w:bidi="ar-SA"/>
        </w:rPr>
        <w:t>6.2</w:t>
      </w:r>
      <w:r>
        <w:rPr>
          <w:rFonts w:hint="eastAsia" w:ascii="宋体" w:hAnsi="Courier New" w:eastAsia="宋体" w:cs="宋体"/>
          <w:kern w:val="2"/>
          <w:sz w:val="21"/>
          <w:szCs w:val="21"/>
          <w:highlight w:val="none"/>
          <w:lang w:val="en-US" w:eastAsia="zh-CN" w:bidi="ar-SA"/>
        </w:rPr>
        <w:t>检验应注意的问题</w:t>
      </w:r>
    </w:p>
    <w:p w14:paraId="143D6651">
      <w:pPr>
        <w:pStyle w:val="4"/>
        <w:adjustRightInd w:val="0"/>
        <w:snapToGrid w:val="0"/>
        <w:spacing w:line="360" w:lineRule="auto"/>
        <w:rPr>
          <w:rFonts w:hAnsi="宋体" w:cs="Times New Roman"/>
          <w:color w:val="000000"/>
          <w:highlight w:val="none"/>
        </w:rPr>
      </w:pPr>
      <w:r>
        <w:rPr>
          <w:rFonts w:hAnsi="宋体"/>
          <w:color w:val="000000"/>
          <w:highlight w:val="none"/>
        </w:rPr>
        <w:t xml:space="preserve">6.2.1 </w:t>
      </w:r>
      <w:r>
        <w:rPr>
          <w:highlight w:val="none"/>
        </w:rPr>
        <w:t>判定要求</w:t>
      </w:r>
    </w:p>
    <w:p w14:paraId="3CAFA7C0">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2DF19108">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0589F56F">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667374F1">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39A77A9E">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559A4370">
      <w:pPr>
        <w:snapToGrid w:val="0"/>
        <w:spacing w:line="360" w:lineRule="auto"/>
        <w:rPr>
          <w:rFonts w:hint="eastAsia" w:ascii="宋体" w:hAnsi="宋体" w:cs="宋体"/>
          <w:sz w:val="18"/>
          <w:szCs w:val="18"/>
          <w:highlight w:val="none"/>
        </w:rPr>
      </w:pPr>
      <w:r>
        <w:rPr>
          <w:rFonts w:hint="eastAsia" w:ascii="宋体" w:hAnsi="宋体" w:cs="宋体"/>
          <w:sz w:val="18"/>
          <w:szCs w:val="18"/>
          <w:highlight w:val="none"/>
        </w:rPr>
        <w:t>7.1 判定原则</w:t>
      </w:r>
    </w:p>
    <w:p w14:paraId="0B53A66A">
      <w:pPr>
        <w:snapToGrid w:val="0"/>
        <w:spacing w:line="360" w:lineRule="auto"/>
        <w:ind w:firstLine="360" w:firstLineChars="200"/>
        <w:rPr>
          <w:rFonts w:ascii="宋体"/>
          <w:color w:val="000000"/>
          <w:highlight w:val="none"/>
        </w:rPr>
      </w:pPr>
      <w:r>
        <w:rPr>
          <w:rFonts w:hint="eastAsia" w:ascii="宋体" w:hAnsi="宋体" w:cs="宋体"/>
          <w:sz w:val="18"/>
          <w:szCs w:val="18"/>
          <w:highlight w:val="none"/>
        </w:rPr>
        <w:t>经检验，检验项</w:t>
      </w:r>
      <w:r>
        <w:rPr>
          <w:rFonts w:hint="eastAsia" w:ascii="宋体" w:hAnsi="宋体" w:cs="宋体"/>
          <w:color w:val="000000"/>
          <w:highlight w:val="none"/>
        </w:rPr>
        <w:t>目全部合格，判定为被抽查产品合格；检验项目中任一项或一项以上不合格，判定为被抽查产品不合格。当产品存在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672F3124">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50CDCC56">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kern w:val="0"/>
          <w:highlight w:val="none"/>
        </w:rPr>
        <w:t>婴幼儿</w:t>
      </w:r>
      <w:r>
        <w:rPr>
          <w:rFonts w:hint="eastAsia" w:ascii="宋体" w:hAnsi="宋体" w:cs="宋体"/>
          <w:kern w:val="0"/>
          <w:highlight w:val="none"/>
          <w:lang w:val="en-US" w:eastAsia="zh-CN"/>
        </w:rPr>
        <w:t>服装</w:t>
      </w:r>
      <w:r>
        <w:rPr>
          <w:rFonts w:hint="eastAsia" w:ascii="宋体" w:hAnsi="宋体" w:cs="宋体"/>
          <w:highlight w:val="none"/>
        </w:rPr>
        <w:t>》</w:t>
      </w:r>
      <w:r>
        <w:rPr>
          <w:rFonts w:hint="eastAsia" w:ascii="宋体" w:hAnsi="宋体" w:cs="宋体"/>
          <w:color w:val="000000"/>
          <w:highlight w:val="none"/>
        </w:rPr>
        <w:t>，判定为合格；</w:t>
      </w:r>
    </w:p>
    <w:p w14:paraId="7239C795">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w:t>
      </w:r>
      <w:r>
        <w:rPr>
          <w:rFonts w:ascii="宋体" w:hAnsi="宋体" w:cs="宋体"/>
          <w:color w:val="000000"/>
          <w:highlight w:val="none"/>
        </w:rPr>
        <w:t>xxx</w:t>
      </w:r>
      <w:r>
        <w:rPr>
          <w:rFonts w:hint="eastAsia" w:ascii="宋体" w:hAnsi="宋体" w:cs="宋体"/>
          <w:color w:val="000000"/>
          <w:highlight w:val="none"/>
        </w:rPr>
        <w:t>项目不符合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kern w:val="0"/>
          <w:highlight w:val="none"/>
        </w:rPr>
        <w:t>婴幼儿</w:t>
      </w:r>
      <w:r>
        <w:rPr>
          <w:rFonts w:hint="eastAsia" w:ascii="宋体" w:hAnsi="宋体" w:cs="宋体"/>
          <w:kern w:val="0"/>
          <w:highlight w:val="none"/>
          <w:lang w:val="en-US" w:eastAsia="zh-CN"/>
        </w:rPr>
        <w:t>服装</w:t>
      </w:r>
      <w:r>
        <w:rPr>
          <w:rFonts w:hint="eastAsia" w:ascii="宋体" w:hAnsi="宋体" w:cs="宋体"/>
          <w:highlight w:val="none"/>
        </w:rPr>
        <w:t>》</w:t>
      </w:r>
      <w:r>
        <w:rPr>
          <w:rFonts w:hint="eastAsia" w:ascii="宋体" w:hAnsi="宋体" w:cs="宋体"/>
          <w:color w:val="000000"/>
          <w:highlight w:val="none"/>
        </w:rPr>
        <w:t>，判定为不合格；</w:t>
      </w:r>
    </w:p>
    <w:p w14:paraId="5DA52FEC">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w:t>
      </w:r>
      <w:r>
        <w:rPr>
          <w:rFonts w:ascii="宋体" w:hAnsi="宋体" w:cs="宋体"/>
          <w:color w:val="000000"/>
          <w:highlight w:val="none"/>
        </w:rPr>
        <w:t>xxx</w:t>
      </w:r>
      <w:r>
        <w:rPr>
          <w:rFonts w:hint="eastAsia" w:ascii="宋体" w:hAnsi="宋体" w:cs="宋体"/>
          <w:color w:val="000000"/>
          <w:highlight w:val="none"/>
        </w:rPr>
        <w:t>项目不符合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kern w:val="0"/>
          <w:highlight w:val="none"/>
        </w:rPr>
        <w:t>婴幼儿</w:t>
      </w:r>
      <w:r>
        <w:rPr>
          <w:rFonts w:hint="eastAsia" w:ascii="宋体" w:hAnsi="宋体" w:cs="宋体"/>
          <w:kern w:val="0"/>
          <w:highlight w:val="none"/>
          <w:lang w:val="en-US" w:eastAsia="zh-CN"/>
        </w:rPr>
        <w:t>服装</w:t>
      </w:r>
      <w:r>
        <w:rPr>
          <w:rFonts w:hint="eastAsia" w:ascii="宋体" w:hAnsi="宋体" w:cs="宋体"/>
          <w:highlight w:val="none"/>
        </w:rPr>
        <w:t>》</w:t>
      </w:r>
      <w:r>
        <w:rPr>
          <w:rFonts w:hint="eastAsia" w:ascii="宋体" w:hAnsi="宋体" w:cs="宋体"/>
          <w:color w:val="000000"/>
          <w:highlight w:val="none"/>
        </w:rPr>
        <w:t>，判定为不合格，属于严重不合格。</w:t>
      </w:r>
    </w:p>
    <w:p w14:paraId="78F8B755">
      <w:pPr>
        <w:spacing w:before="156" w:beforeLines="50" w:after="156"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01EE8A9C">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108F54C9">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59B3D509">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2DFF63D9">
      <w:pPr>
        <w:pStyle w:val="4"/>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不予复检的情况</w:t>
      </w:r>
    </w:p>
    <w:p w14:paraId="4A6E7C05">
      <w:pPr>
        <w:pStyle w:val="4"/>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6102D906">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A2CBE"/>
    <w:rsid w:val="000D656E"/>
    <w:rsid w:val="00100BAC"/>
    <w:rsid w:val="00107002"/>
    <w:rsid w:val="00131E22"/>
    <w:rsid w:val="001639C4"/>
    <w:rsid w:val="00170C5F"/>
    <w:rsid w:val="00176834"/>
    <w:rsid w:val="00190DA1"/>
    <w:rsid w:val="001B395D"/>
    <w:rsid w:val="001C2615"/>
    <w:rsid w:val="002A1FD7"/>
    <w:rsid w:val="002B7CC9"/>
    <w:rsid w:val="00310D28"/>
    <w:rsid w:val="00344D4A"/>
    <w:rsid w:val="003932C2"/>
    <w:rsid w:val="003A3D3D"/>
    <w:rsid w:val="003D0370"/>
    <w:rsid w:val="00444A00"/>
    <w:rsid w:val="004F1392"/>
    <w:rsid w:val="00502B34"/>
    <w:rsid w:val="00547803"/>
    <w:rsid w:val="0057534E"/>
    <w:rsid w:val="005C4424"/>
    <w:rsid w:val="005C68BC"/>
    <w:rsid w:val="00613999"/>
    <w:rsid w:val="00614458"/>
    <w:rsid w:val="0068747B"/>
    <w:rsid w:val="00694A0C"/>
    <w:rsid w:val="006C0919"/>
    <w:rsid w:val="00763E2C"/>
    <w:rsid w:val="0076576A"/>
    <w:rsid w:val="00786513"/>
    <w:rsid w:val="007A261A"/>
    <w:rsid w:val="00827141"/>
    <w:rsid w:val="00835C9E"/>
    <w:rsid w:val="00883EAA"/>
    <w:rsid w:val="008A73DE"/>
    <w:rsid w:val="008C5B2A"/>
    <w:rsid w:val="008D05E1"/>
    <w:rsid w:val="008D27EC"/>
    <w:rsid w:val="0091048A"/>
    <w:rsid w:val="00940248"/>
    <w:rsid w:val="00A00A03"/>
    <w:rsid w:val="00AB6147"/>
    <w:rsid w:val="00C07AF2"/>
    <w:rsid w:val="00C612DD"/>
    <w:rsid w:val="00CD573C"/>
    <w:rsid w:val="00CD71E5"/>
    <w:rsid w:val="00D15875"/>
    <w:rsid w:val="00D25A85"/>
    <w:rsid w:val="00D3025C"/>
    <w:rsid w:val="00D34880"/>
    <w:rsid w:val="00D800DF"/>
    <w:rsid w:val="00DF3462"/>
    <w:rsid w:val="00E01EFB"/>
    <w:rsid w:val="00E258B3"/>
    <w:rsid w:val="00E80157"/>
    <w:rsid w:val="00EE1D6E"/>
    <w:rsid w:val="00EF74F6"/>
    <w:rsid w:val="00F12C05"/>
    <w:rsid w:val="00F83DCE"/>
    <w:rsid w:val="00FC6005"/>
    <w:rsid w:val="00FD04A3"/>
    <w:rsid w:val="00FD74C5"/>
    <w:rsid w:val="00FE58F2"/>
    <w:rsid w:val="02945004"/>
    <w:rsid w:val="030108E3"/>
    <w:rsid w:val="043D3A95"/>
    <w:rsid w:val="044B0AD3"/>
    <w:rsid w:val="052E2890"/>
    <w:rsid w:val="05DA0179"/>
    <w:rsid w:val="06E70F47"/>
    <w:rsid w:val="109D437A"/>
    <w:rsid w:val="11040E7E"/>
    <w:rsid w:val="15714F75"/>
    <w:rsid w:val="1690695D"/>
    <w:rsid w:val="16B73FF5"/>
    <w:rsid w:val="189F547C"/>
    <w:rsid w:val="19947AD6"/>
    <w:rsid w:val="1C985A30"/>
    <w:rsid w:val="1DA06AD8"/>
    <w:rsid w:val="1E85200F"/>
    <w:rsid w:val="1FF77E85"/>
    <w:rsid w:val="2022079E"/>
    <w:rsid w:val="21C22C34"/>
    <w:rsid w:val="24E01B0E"/>
    <w:rsid w:val="29993923"/>
    <w:rsid w:val="2A9B142A"/>
    <w:rsid w:val="2C685FD9"/>
    <w:rsid w:val="2D696584"/>
    <w:rsid w:val="2E2B3B8C"/>
    <w:rsid w:val="2FD97B27"/>
    <w:rsid w:val="31123368"/>
    <w:rsid w:val="313E0DFF"/>
    <w:rsid w:val="316D051A"/>
    <w:rsid w:val="32D072C1"/>
    <w:rsid w:val="349F0D56"/>
    <w:rsid w:val="3DD54D90"/>
    <w:rsid w:val="42A067C5"/>
    <w:rsid w:val="43030DF4"/>
    <w:rsid w:val="489872B8"/>
    <w:rsid w:val="4AFE4A22"/>
    <w:rsid w:val="4E352998"/>
    <w:rsid w:val="54C142D5"/>
    <w:rsid w:val="558330E1"/>
    <w:rsid w:val="56FD623A"/>
    <w:rsid w:val="582F5691"/>
    <w:rsid w:val="58E84B16"/>
    <w:rsid w:val="5AD13285"/>
    <w:rsid w:val="5D0A1D33"/>
    <w:rsid w:val="5E946B2E"/>
    <w:rsid w:val="60430747"/>
    <w:rsid w:val="62141B93"/>
    <w:rsid w:val="64395C36"/>
    <w:rsid w:val="64C07CA8"/>
    <w:rsid w:val="65BC200F"/>
    <w:rsid w:val="663A5889"/>
    <w:rsid w:val="67801504"/>
    <w:rsid w:val="6DF41334"/>
    <w:rsid w:val="70C508BB"/>
    <w:rsid w:val="71BF6F08"/>
    <w:rsid w:val="72B7584D"/>
    <w:rsid w:val="772C46BF"/>
    <w:rsid w:val="79B97693"/>
    <w:rsid w:val="79BD708F"/>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2">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paragraph" w:styleId="3">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4">
    <w:name w:val="Plain Text"/>
    <w:basedOn w:val="1"/>
    <w:link w:val="20"/>
    <w:qFormat/>
    <w:uiPriority w:val="99"/>
    <w:rPr>
      <w:rFonts w:ascii="宋体" w:hAnsi="Courier New" w:cs="宋体"/>
    </w:rPr>
  </w:style>
  <w:style w:type="paragraph" w:styleId="5">
    <w:name w:val="footer"/>
    <w:basedOn w:val="1"/>
    <w:link w:val="24"/>
    <w:unhideWhenUsed/>
    <w:qFormat/>
    <w:locked/>
    <w:uiPriority w:val="99"/>
    <w:pPr>
      <w:tabs>
        <w:tab w:val="center" w:pos="4153"/>
        <w:tab w:val="right" w:pos="8306"/>
      </w:tabs>
      <w:snapToGrid w:val="0"/>
      <w:jc w:val="left"/>
    </w:pPr>
    <w:rPr>
      <w:sz w:val="18"/>
      <w:szCs w:val="18"/>
    </w:rPr>
  </w:style>
  <w:style w:type="paragraph" w:styleId="6">
    <w:name w:val="header"/>
    <w:basedOn w:val="1"/>
    <w:link w:val="23"/>
    <w:unhideWhenUsed/>
    <w:qFormat/>
    <w:lock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99"/>
    <w:rPr>
      <w:b/>
      <w:bCs/>
    </w:rPr>
  </w:style>
  <w:style w:type="character" w:styleId="11">
    <w:name w:val="FollowedHyperlink"/>
    <w:basedOn w:val="9"/>
    <w:qFormat/>
    <w:uiPriority w:val="99"/>
    <w:rPr>
      <w:color w:val="auto"/>
      <w:u w:val="none"/>
    </w:rPr>
  </w:style>
  <w:style w:type="character" w:styleId="12">
    <w:name w:val="Emphasis"/>
    <w:basedOn w:val="9"/>
    <w:qFormat/>
    <w:uiPriority w:val="99"/>
  </w:style>
  <w:style w:type="character" w:styleId="13">
    <w:name w:val="HTML Definition"/>
    <w:basedOn w:val="9"/>
    <w:qFormat/>
    <w:uiPriority w:val="99"/>
  </w:style>
  <w:style w:type="character" w:styleId="14">
    <w:name w:val="HTML Variable"/>
    <w:basedOn w:val="9"/>
    <w:qFormat/>
    <w:uiPriority w:val="99"/>
  </w:style>
  <w:style w:type="character" w:styleId="15">
    <w:name w:val="Hyperlink"/>
    <w:basedOn w:val="9"/>
    <w:qFormat/>
    <w:uiPriority w:val="99"/>
    <w:rPr>
      <w:color w:val="auto"/>
      <w:u w:val="none"/>
    </w:rPr>
  </w:style>
  <w:style w:type="character" w:styleId="16">
    <w:name w:val="HTML Code"/>
    <w:basedOn w:val="9"/>
    <w:qFormat/>
    <w:uiPriority w:val="99"/>
    <w:rPr>
      <w:rFonts w:ascii="serif" w:hAnsi="serif" w:cs="serif"/>
      <w:sz w:val="21"/>
      <w:szCs w:val="21"/>
    </w:rPr>
  </w:style>
  <w:style w:type="character" w:styleId="17">
    <w:name w:val="HTML Cite"/>
    <w:basedOn w:val="9"/>
    <w:qFormat/>
    <w:uiPriority w:val="99"/>
  </w:style>
  <w:style w:type="character" w:styleId="18">
    <w:name w:val="HTML Keyboard"/>
    <w:basedOn w:val="9"/>
    <w:qFormat/>
    <w:uiPriority w:val="99"/>
    <w:rPr>
      <w:rFonts w:ascii="serif" w:hAnsi="serif" w:cs="serif"/>
      <w:sz w:val="21"/>
      <w:szCs w:val="21"/>
    </w:rPr>
  </w:style>
  <w:style w:type="character" w:styleId="19">
    <w:name w:val="HTML Sample"/>
    <w:basedOn w:val="9"/>
    <w:qFormat/>
    <w:uiPriority w:val="99"/>
    <w:rPr>
      <w:rFonts w:ascii="serif" w:hAnsi="serif" w:cs="serif"/>
      <w:sz w:val="21"/>
      <w:szCs w:val="21"/>
    </w:rPr>
  </w:style>
  <w:style w:type="character" w:customStyle="1" w:styleId="20">
    <w:name w:val="纯文本 字符"/>
    <w:basedOn w:val="9"/>
    <w:link w:val="4"/>
    <w:semiHidden/>
    <w:qFormat/>
    <w:locked/>
    <w:uiPriority w:val="99"/>
    <w:rPr>
      <w:rFonts w:ascii="宋体" w:hAnsi="Courier New" w:cs="宋体"/>
      <w:sz w:val="21"/>
      <w:szCs w:val="21"/>
    </w:rPr>
  </w:style>
  <w:style w:type="character" w:customStyle="1" w:styleId="21">
    <w:name w:val="fontborder"/>
    <w:basedOn w:val="9"/>
    <w:qFormat/>
    <w:uiPriority w:val="99"/>
    <w:rPr>
      <w:bdr w:val="single" w:color="000000" w:sz="6" w:space="0"/>
    </w:rPr>
  </w:style>
  <w:style w:type="character" w:customStyle="1" w:styleId="22">
    <w:name w:val="fontstrikethrough"/>
    <w:basedOn w:val="9"/>
    <w:qFormat/>
    <w:uiPriority w:val="99"/>
    <w:rPr>
      <w:strike/>
    </w:rPr>
  </w:style>
  <w:style w:type="character" w:customStyle="1" w:styleId="23">
    <w:name w:val="页眉 字符"/>
    <w:basedOn w:val="9"/>
    <w:link w:val="6"/>
    <w:qFormat/>
    <w:uiPriority w:val="99"/>
    <w:rPr>
      <w:sz w:val="18"/>
      <w:szCs w:val="18"/>
    </w:rPr>
  </w:style>
  <w:style w:type="character" w:customStyle="1" w:styleId="24">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2041</Words>
  <Characters>2377</Characters>
  <Lines>18</Lines>
  <Paragraphs>5</Paragraphs>
  <TotalTime>0</TotalTime>
  <ScaleCrop>false</ScaleCrop>
  <LinksUpToDate>false</LinksUpToDate>
  <CharactersWithSpaces>2409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2023-07-11T02:53:00Z</dcterms:created>
  <dc:creator>狐狸悄咪咪</dc:creator>
  <cp:lastModifiedBy>美鹤</cp:lastModifiedBy>
  <dcterms:modified xsi:type="dcterms:W3CDTF">2024-07-12T03:07:20Z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