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spacing w:val="20"/>
          <w:w w:val="105"/>
          <w:sz w:val="48"/>
          <w:szCs w:val="48"/>
        </w:rPr>
      </w:pPr>
      <w:r>
        <w:rPr>
          <w:rFonts w:hint="eastAsia" w:ascii="黑体" w:hAnsi="宋体" w:eastAsia="黑体" w:cs="黑体"/>
          <w:spacing w:val="20"/>
          <w:w w:val="105"/>
          <w:sz w:val="48"/>
          <w:szCs w:val="48"/>
          <w:lang w:val="en-US" w:eastAsia="zh-CN"/>
        </w:rPr>
        <w:t>2024年</w:t>
      </w:r>
      <w:r>
        <w:rPr>
          <w:rFonts w:hint="eastAsia" w:ascii="黑体" w:hAnsi="宋体" w:eastAsia="黑体" w:cs="黑体"/>
          <w:spacing w:val="20"/>
          <w:w w:val="105"/>
          <w:sz w:val="48"/>
          <w:szCs w:val="48"/>
        </w:rPr>
        <w:t>莆田市流通领域产品质量</w:t>
      </w:r>
    </w:p>
    <w:p>
      <w:pPr>
        <w:jc w:val="center"/>
        <w:rPr>
          <w:rFonts w:hint="eastAsia" w:ascii="黑体" w:hAnsi="宋体" w:eastAsia="黑体" w:cs="黑体"/>
          <w:spacing w:val="20"/>
          <w:w w:val="105"/>
          <w:sz w:val="48"/>
          <w:szCs w:val="48"/>
        </w:rPr>
      </w:pPr>
      <w:r>
        <w:rPr>
          <w:rFonts w:hint="eastAsia" w:ascii="黑体" w:hAnsi="宋体" w:eastAsia="黑体" w:cs="黑体"/>
          <w:spacing w:val="20"/>
          <w:w w:val="105"/>
          <w:sz w:val="48"/>
          <w:szCs w:val="48"/>
        </w:rPr>
        <w:t>监督抽查实施细则</w:t>
      </w:r>
    </w:p>
    <w:p>
      <w:pPr>
        <w:pStyle w:val="2"/>
        <w:rPr>
          <w:rFonts w:hint="default" w:eastAsia="黑体"/>
          <w:lang w:val="en-US" w:eastAsia="zh-CN"/>
        </w:rPr>
      </w:pPr>
      <w:r>
        <w:pict>
          <v:line id="_x0000_s1026" o:spid="_x0000_s1026" o:spt="20" style="position:absolute;left:0pt;margin-left:0.35pt;margin-top:17.6pt;height:0pt;width:487.75pt;z-index:251660288;mso-width-relative:page;mso-height-relative:page;" stroked="t" coordsize="21600,21600">
            <v:path arrowok="t"/>
            <v:fill focussize="0,0"/>
            <v:stroke weight="1pt" color="#800008"/>
            <v:imagedata o:title=""/>
            <o:lock v:ext="edit"/>
          </v:line>
        </w:pict>
      </w:r>
      <w:r>
        <w:rPr>
          <w:rFonts w:hint="eastAsia" w:ascii="黑体" w:hAnsi="宋体" w:eastAsia="黑体" w:cs="黑体"/>
          <w:spacing w:val="20"/>
          <w:w w:val="105"/>
          <w:sz w:val="48"/>
          <w:szCs w:val="48"/>
          <w:lang w:val="en-US" w:eastAsia="zh-CN"/>
        </w:rPr>
        <w:t xml:space="preserve">                   </w:t>
      </w:r>
      <w:r>
        <w:rPr>
          <w:rFonts w:hint="eastAsia" w:ascii="宋体" w:hAnsi="宋体" w:eastAsia="宋体" w:cs="宋体"/>
          <w:spacing w:val="20"/>
          <w:w w:val="105"/>
          <w:sz w:val="48"/>
          <w:szCs w:val="48"/>
          <w:lang w:val="en-US" w:eastAsia="zh-CN"/>
        </w:rPr>
        <w:t xml:space="preserve">  </w:t>
      </w:r>
      <w:r>
        <w:rPr>
          <w:rFonts w:hint="eastAsia" w:asciiTheme="majorEastAsia" w:hAnsiTheme="majorEastAsia" w:eastAsiaTheme="majorEastAsia" w:cstheme="majorEastAsia"/>
          <w:spacing w:val="20"/>
          <w:w w:val="105"/>
          <w:sz w:val="24"/>
          <w:szCs w:val="24"/>
          <w:lang w:val="en-US" w:eastAsia="zh-CN"/>
        </w:rPr>
        <w:t xml:space="preserve">        </w:t>
      </w:r>
      <w:r>
        <w:rPr>
          <w:rFonts w:hint="eastAsia" w:ascii="宋体" w:hAnsi="宋体" w:cs="宋体"/>
          <w:lang w:val="en-US" w:eastAsia="zh-CN"/>
        </w:rPr>
        <w:t>PTSLTJDC-1002-2024</w:t>
      </w:r>
    </w:p>
    <w:p>
      <w:pPr>
        <w:rPr>
          <w:rFonts w:ascii="宋体"/>
          <w:b/>
          <w:bCs/>
        </w:rPr>
      </w:pPr>
    </w:p>
    <w:p>
      <w:pP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rPr>
          <w:rFonts w:ascii="宋体"/>
          <w:i/>
          <w:iCs/>
        </w:rPr>
      </w:pPr>
    </w:p>
    <w:p>
      <w:pPr>
        <w:jc w:val="center"/>
      </w:pPr>
    </w:p>
    <w:p>
      <w:pPr>
        <w:jc w:val="center"/>
      </w:pPr>
    </w:p>
    <w:p>
      <w:pPr>
        <w:jc w:val="center"/>
      </w:pPr>
    </w:p>
    <w:p>
      <w:pPr>
        <w:jc w:val="center"/>
        <w:rPr>
          <w:rFonts w:ascii="黑体" w:hAnsi="宋体" w:eastAsia="黑体"/>
          <w:sz w:val="48"/>
          <w:szCs w:val="48"/>
        </w:rPr>
      </w:pPr>
      <w:r>
        <w:rPr>
          <w:rFonts w:hint="eastAsia" w:ascii="黑体" w:hAnsi="宋体" w:eastAsia="黑体" w:cs="黑体"/>
          <w:sz w:val="48"/>
          <w:szCs w:val="48"/>
        </w:rPr>
        <w:t>车用柴油</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jc w:val="center"/>
      </w:pPr>
    </w:p>
    <w:p>
      <w:pPr>
        <w:pStyle w:val="2"/>
      </w:pPr>
    </w:p>
    <w:p>
      <w:pPr>
        <w:jc w:val="center"/>
      </w:pPr>
    </w:p>
    <w:p>
      <w:pPr>
        <w:pStyle w:val="2"/>
      </w:pPr>
    </w:p>
    <w:p>
      <w:pPr>
        <w:jc w:val="center"/>
      </w:pPr>
    </w:p>
    <w:p>
      <w:pPr>
        <w:jc w:val="center"/>
      </w:pPr>
    </w:p>
    <w:p>
      <w:pPr>
        <w:rPr>
          <w:u w:val="single"/>
        </w:rPr>
      </w:pPr>
      <w: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rPr>
          <w:u w:val="single"/>
        </w:rPr>
      </w:pPr>
    </w:p>
    <w:p>
      <w:pPr>
        <w:jc w:val="center"/>
        <w:rPr>
          <w:rFonts w:ascii="黑体" w:hAnsi="宋体" w:eastAsia="黑体"/>
          <w:w w:val="148"/>
          <w:sz w:val="36"/>
          <w:szCs w:val="36"/>
        </w:rPr>
      </w:pPr>
      <w:r>
        <w:rPr>
          <w:rFonts w:hint="eastAsia" w:ascii="黑体" w:hAnsi="宋体" w:eastAsia="黑体" w:cs="黑体"/>
          <w:w w:val="148"/>
          <w:sz w:val="36"/>
          <w:szCs w:val="36"/>
        </w:rPr>
        <w:t>莆田市市场监督管理局</w:t>
      </w:r>
    </w:p>
    <w:p>
      <w:pPr>
        <w:pStyle w:val="4"/>
        <w:spacing w:line="360" w:lineRule="auto"/>
        <w:jc w:val="center"/>
        <w:rPr>
          <w:rFonts w:hAnsi="宋体" w:cs="Times New Roman"/>
          <w:b/>
          <w:bCs/>
          <w:sz w:val="36"/>
          <w:szCs w:val="36"/>
        </w:rPr>
      </w:pPr>
      <w:r>
        <w:rPr>
          <w:rFonts w:hint="eastAsia" w:hAnsi="宋体"/>
          <w:b/>
          <w:bCs/>
          <w:spacing w:val="-14"/>
          <w:sz w:val="36"/>
          <w:szCs w:val="36"/>
          <w:lang w:val="en-US" w:eastAsia="zh-CN"/>
        </w:rPr>
        <w:t>2024年</w:t>
      </w:r>
      <w:r>
        <w:rPr>
          <w:rFonts w:hint="eastAsia" w:hAnsi="宋体"/>
          <w:b/>
          <w:bCs/>
          <w:spacing w:val="-14"/>
          <w:sz w:val="36"/>
          <w:szCs w:val="36"/>
          <w:lang w:eastAsia="zh-CN"/>
        </w:rPr>
        <w:t>莆田市</w:t>
      </w:r>
      <w:r>
        <w:rPr>
          <w:rFonts w:hint="eastAsia" w:hAnsi="宋体"/>
          <w:b/>
          <w:bCs/>
          <w:spacing w:val="-14"/>
          <w:sz w:val="36"/>
          <w:szCs w:val="36"/>
        </w:rPr>
        <w:t>流通领域产品质量</w:t>
      </w:r>
      <w:r>
        <w:rPr>
          <w:rFonts w:hint="eastAsia" w:hAnsi="宋体"/>
          <w:b/>
          <w:bCs/>
          <w:sz w:val="36"/>
          <w:szCs w:val="36"/>
        </w:rPr>
        <w:t>监督抽查实施细则</w:t>
      </w:r>
    </w:p>
    <w:p>
      <w:pPr>
        <w:spacing w:line="360" w:lineRule="auto"/>
        <w:jc w:val="right"/>
        <w:rPr>
          <w:rFonts w:ascii="黑体" w:hAnsi="宋体" w:eastAsia="黑体"/>
          <w:b/>
          <w:bCs/>
          <w:color w:val="000000"/>
        </w:rPr>
      </w:pPr>
      <w:r>
        <w:pict>
          <v:shape id="_x0000_s1028" o:spid="_x0000_s1028" o:spt="32" type="#_x0000_t32" style="position:absolute;left:0pt;margin-left:3.5pt;margin-top:21pt;height:0pt;width:484.8pt;z-index:251659264;mso-width-relative:page;mso-height-relative:page;" filled="f" coordsize="21600,21600">
            <v:path arrowok="t"/>
            <v:fill on="f" focussize="0,0"/>
            <v:stroke/>
            <v:imagedata o:title=""/>
            <o:lock v:ext="edit"/>
          </v:shape>
        </w:pict>
      </w:r>
      <w:r>
        <w:rPr>
          <w:rFonts w:hint="eastAsia" w:asciiTheme="majorEastAsia" w:hAnsiTheme="majorEastAsia" w:eastAsiaTheme="majorEastAsia" w:cstheme="majorEastAsia"/>
          <w:spacing w:val="20"/>
          <w:w w:val="105"/>
          <w:sz w:val="24"/>
          <w:szCs w:val="24"/>
          <w:lang w:val="en-US" w:eastAsia="zh-CN"/>
        </w:rPr>
        <w:t xml:space="preserve"> </w:t>
      </w:r>
      <w:r>
        <w:rPr>
          <w:rFonts w:hint="eastAsia" w:ascii="宋体" w:hAnsi="宋体" w:cs="宋体"/>
          <w:lang w:val="en-US" w:eastAsia="zh-CN"/>
        </w:rPr>
        <w:t>PTSLTJDC-1002-2024</w:t>
      </w:r>
    </w:p>
    <w:p>
      <w:pPr>
        <w:spacing w:line="360" w:lineRule="auto"/>
        <w:rPr>
          <w:rFonts w:ascii="黑体" w:hAnsi="宋体" w:eastAsia="黑体"/>
          <w:b/>
          <w:bCs/>
          <w:color w:val="000000"/>
        </w:rPr>
      </w:pPr>
      <w:r>
        <w:rPr>
          <w:rFonts w:hint="eastAsia" w:ascii="黑体" w:hAnsi="宋体" w:eastAsia="黑体" w:cs="黑体"/>
          <w:b/>
          <w:bCs/>
          <w:color w:val="000000"/>
        </w:rPr>
        <w:t>１</w:t>
      </w:r>
      <w:r>
        <w:rPr>
          <w:rFonts w:ascii="黑体" w:hAnsi="宋体" w:eastAsia="黑体" w:cs="黑体"/>
          <w:b/>
          <w:bCs/>
          <w:color w:val="000000"/>
        </w:rPr>
        <w:t>.</w:t>
      </w:r>
      <w:r>
        <w:rPr>
          <w:rFonts w:hint="eastAsia" w:ascii="黑体" w:hAnsi="宋体" w:eastAsia="黑体" w:cs="黑体"/>
          <w:b/>
          <w:bCs/>
          <w:color w:val="000000"/>
        </w:rPr>
        <w:t>适用范围</w:t>
      </w:r>
    </w:p>
    <w:p>
      <w:pPr>
        <w:snapToGrid w:val="0"/>
        <w:spacing w:line="360" w:lineRule="auto"/>
        <w:ind w:firstLine="403" w:firstLineChars="192"/>
        <w:rPr>
          <w:rFonts w:ascii="宋体"/>
          <w:color w:val="000000"/>
        </w:rPr>
      </w:pPr>
      <w:r>
        <w:rPr>
          <w:rFonts w:hint="eastAsia" w:ascii="宋体" w:hAnsi="宋体" w:cs="宋体"/>
        </w:rPr>
        <w:t>本细则适用于</w:t>
      </w:r>
      <w:r>
        <w:rPr>
          <w:rFonts w:ascii="宋体" w:hAnsi="宋体" w:cs="宋体"/>
        </w:rPr>
        <w:t>202</w:t>
      </w:r>
      <w:r>
        <w:rPr>
          <w:rFonts w:hint="eastAsia" w:ascii="宋体" w:hAnsi="宋体" w:cs="宋体"/>
          <w:lang w:val="en-US" w:eastAsia="zh-CN"/>
        </w:rPr>
        <w:t>4</w:t>
      </w:r>
      <w:r>
        <w:rPr>
          <w:rFonts w:hint="eastAsia" w:ascii="宋体" w:hAnsi="宋体" w:cs="宋体"/>
        </w:rPr>
        <w:t>年莆田市流通领域车用柴油市级监督抽查，内容</w:t>
      </w:r>
      <w:r>
        <w:rPr>
          <w:rFonts w:hint="eastAsia" w:ascii="宋体" w:hAnsi="宋体" w:cs="宋体"/>
          <w:color w:val="000000"/>
        </w:rPr>
        <w:t>包括产品分类、术语与定义、检验依据、抽样要求、检验要求、判定原则、异议处理原则。</w:t>
      </w:r>
    </w:p>
    <w:p>
      <w:pPr>
        <w:snapToGrid w:val="0"/>
        <w:spacing w:line="360" w:lineRule="auto"/>
        <w:ind w:firstLine="345" w:firstLineChars="192"/>
        <w:rPr>
          <w:rFonts w:ascii="宋体"/>
          <w:color w:val="000000"/>
        </w:rPr>
      </w:pPr>
      <w:r>
        <w:rPr>
          <w:rFonts w:hint="eastAsia" w:ascii="宋体" w:hAnsi="宋体" w:cs="宋体"/>
          <w:color w:val="000000"/>
          <w:sz w:val="18"/>
          <w:szCs w:val="18"/>
        </w:rPr>
        <w:t>注：针对特殊情况的专项抽查可参照执行。</w:t>
      </w:r>
    </w:p>
    <w:p>
      <w:pPr>
        <w:spacing w:line="360" w:lineRule="auto"/>
        <w:rPr>
          <w:rFonts w:ascii="黑体" w:hAnsi="宋体" w:eastAsia="黑体"/>
          <w:b/>
          <w:bCs/>
          <w:color w:val="000000"/>
        </w:rPr>
      </w:pPr>
      <w:r>
        <w:rPr>
          <w:rFonts w:ascii="黑体" w:hAnsi="宋体" w:eastAsia="黑体" w:cs="黑体"/>
          <w:b/>
          <w:bCs/>
          <w:color w:val="000000"/>
        </w:rPr>
        <w:t xml:space="preserve">2. </w:t>
      </w:r>
      <w:r>
        <w:rPr>
          <w:rFonts w:hint="eastAsia" w:ascii="黑体" w:hAnsi="宋体" w:eastAsia="黑体" w:cs="黑体"/>
          <w:b/>
          <w:bCs/>
          <w:color w:val="000000"/>
        </w:rPr>
        <w:t>产品分类</w:t>
      </w:r>
    </w:p>
    <w:p>
      <w:pPr>
        <w:spacing w:line="360" w:lineRule="auto"/>
        <w:ind w:firstLine="420" w:firstLineChars="200"/>
        <w:rPr>
          <w:rFonts w:ascii="宋体"/>
          <w:color w:val="000000"/>
        </w:rPr>
      </w:pPr>
      <w:r>
        <w:rPr>
          <w:rFonts w:hint="eastAsia" w:ascii="宋体" w:hAnsi="宋体" w:cs="宋体"/>
          <w:color w:val="000000"/>
        </w:rPr>
        <w:t>产品分类见表</w:t>
      </w:r>
      <w:r>
        <w:rPr>
          <w:rFonts w:ascii="宋体" w:hAnsi="宋体" w:cs="宋体"/>
          <w:color w:val="000000"/>
        </w:rPr>
        <w:t>1</w:t>
      </w:r>
      <w:r>
        <w:rPr>
          <w:rFonts w:hint="eastAsia" w:ascii="宋体" w:hAnsi="宋体" w:cs="宋体"/>
          <w:color w:val="000000"/>
        </w:rPr>
        <w:t>。</w:t>
      </w:r>
    </w:p>
    <w:p>
      <w:pPr>
        <w:spacing w:line="360" w:lineRule="auto"/>
        <w:jc w:val="center"/>
        <w:rPr>
          <w:rFonts w:ascii="宋体"/>
          <w:color w:val="000000"/>
        </w:rPr>
      </w:pPr>
      <w:r>
        <w:rPr>
          <w:rFonts w:hint="eastAsia" w:ascii="宋体" w:hAnsi="宋体" w:cs="宋体"/>
          <w:color w:val="000000"/>
        </w:rPr>
        <w:t>表</w:t>
      </w:r>
      <w:r>
        <w:rPr>
          <w:rFonts w:ascii="宋体" w:hAnsi="宋体" w:cs="宋体"/>
          <w:color w:val="000000"/>
        </w:rPr>
        <w:t xml:space="preserve">1 </w:t>
      </w:r>
      <w:r>
        <w:rPr>
          <w:rFonts w:hint="eastAsia" w:ascii="宋体" w:hAnsi="宋体" w:cs="宋体"/>
          <w:color w:val="000000"/>
        </w:rPr>
        <w:t>车用柴油产品分类</w:t>
      </w:r>
    </w:p>
    <w:tbl>
      <w:tblPr>
        <w:tblStyle w:val="5"/>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68" w:type="dxa"/>
            <w:noWrap/>
            <w:vAlign w:val="center"/>
          </w:tcPr>
          <w:p>
            <w:pPr>
              <w:spacing w:line="360" w:lineRule="auto"/>
              <w:jc w:val="center"/>
              <w:rPr>
                <w:rFonts w:ascii="宋体"/>
                <w:color w:val="000000"/>
              </w:rPr>
            </w:pPr>
            <w:r>
              <w:rPr>
                <w:rFonts w:hint="eastAsia" w:ascii="宋体" w:hAnsi="宋体" w:cs="宋体"/>
                <w:color w:val="000000"/>
              </w:rPr>
              <w:t>产品分类</w:t>
            </w:r>
          </w:p>
        </w:tc>
        <w:tc>
          <w:tcPr>
            <w:tcW w:w="5900" w:type="dxa"/>
            <w:noWrap/>
            <w:vAlign w:val="center"/>
          </w:tcPr>
          <w:p>
            <w:pPr>
              <w:spacing w:line="360" w:lineRule="auto"/>
              <w:jc w:val="center"/>
              <w:rPr>
                <w:rFonts w:hint="eastAsia" w:ascii="宋体" w:eastAsia="宋体"/>
                <w:color w:val="000000"/>
                <w:lang w:eastAsia="zh-CN"/>
              </w:rPr>
            </w:pPr>
            <w:r>
              <w:rPr>
                <w:rFonts w:hint="eastAsia" w:ascii="宋体" w:hAnsi="宋体" w:cs="宋体"/>
                <w:color w:val="000000"/>
                <w:lang w:eastAsia="zh-CN"/>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68" w:type="dxa"/>
            <w:noWrap/>
            <w:vAlign w:val="center"/>
          </w:tcPr>
          <w:p>
            <w:pPr>
              <w:spacing w:line="360" w:lineRule="auto"/>
              <w:jc w:val="center"/>
              <w:rPr>
                <w:rFonts w:ascii="宋体"/>
                <w:color w:val="000000"/>
              </w:rPr>
            </w:pPr>
            <w:r>
              <w:rPr>
                <w:rFonts w:hint="eastAsia" w:ascii="宋体" w:hAnsi="宋体" w:cs="宋体"/>
                <w:color w:val="000000"/>
              </w:rPr>
              <w:t>车用柴油</w:t>
            </w:r>
          </w:p>
        </w:tc>
        <w:tc>
          <w:tcPr>
            <w:tcW w:w="5900" w:type="dxa"/>
            <w:noWrap/>
            <w:vAlign w:val="center"/>
          </w:tcPr>
          <w:p>
            <w:pPr>
              <w:spacing w:line="360" w:lineRule="auto"/>
              <w:jc w:val="center"/>
              <w:rPr>
                <w:rFonts w:ascii="宋体"/>
                <w:color w:val="000000"/>
              </w:rPr>
            </w:pPr>
            <w:r>
              <w:rPr>
                <w:rFonts w:ascii="宋体" w:hAnsi="宋体" w:cs="宋体"/>
                <w:color w:val="000000"/>
              </w:rPr>
              <w:t>5</w:t>
            </w:r>
            <w:r>
              <w:rPr>
                <w:rFonts w:hint="eastAsia" w:ascii="宋体" w:hAnsi="宋体" w:cs="宋体"/>
                <w:color w:val="000000"/>
              </w:rPr>
              <w:t>号、</w:t>
            </w:r>
            <w:r>
              <w:rPr>
                <w:rFonts w:ascii="宋体" w:cs="宋体"/>
                <w:color w:val="000000"/>
              </w:rPr>
              <w:t>0</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10</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20</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35</w:t>
            </w:r>
            <w:r>
              <w:rPr>
                <w:rFonts w:hint="eastAsia" w:ascii="宋体" w:hAnsi="宋体" w:cs="宋体"/>
                <w:color w:val="000000"/>
              </w:rPr>
              <w:t>号、</w:t>
            </w:r>
            <w:r>
              <w:rPr>
                <w:rFonts w:hint="eastAsia" w:ascii="宋体" w:hAnsi="宋体" w:cs="宋体"/>
                <w:color w:val="000000"/>
                <w:lang w:val="en-US" w:eastAsia="zh-CN"/>
              </w:rPr>
              <w:t>-</w:t>
            </w:r>
            <w:r>
              <w:rPr>
                <w:rFonts w:ascii="宋体" w:hAnsi="宋体" w:cs="宋体"/>
                <w:color w:val="000000"/>
              </w:rPr>
              <w:t>50</w:t>
            </w:r>
            <w:r>
              <w:rPr>
                <w:rFonts w:hint="eastAsia" w:ascii="宋体" w:hAnsi="宋体" w:cs="宋体"/>
                <w:color w:val="000000"/>
              </w:rPr>
              <w:t>号</w:t>
            </w:r>
          </w:p>
        </w:tc>
      </w:tr>
    </w:tbl>
    <w:p>
      <w:pPr>
        <w:spacing w:line="360" w:lineRule="auto"/>
        <w:jc w:val="both"/>
        <w:rPr>
          <w:rFonts w:ascii="宋体"/>
          <w:color w:val="000000"/>
        </w:rPr>
      </w:pPr>
    </w:p>
    <w:p>
      <w:pPr>
        <w:spacing w:line="360" w:lineRule="auto"/>
        <w:rPr>
          <w:rFonts w:ascii="黑体" w:hAnsi="宋体" w:eastAsia="黑体"/>
          <w:b/>
          <w:bCs/>
          <w:color w:val="000000"/>
        </w:rPr>
      </w:pPr>
      <w:r>
        <w:rPr>
          <w:rFonts w:ascii="黑体" w:hAnsi="宋体" w:eastAsia="黑体" w:cs="黑体"/>
          <w:b/>
          <w:bCs/>
          <w:color w:val="000000"/>
        </w:rPr>
        <w:t>3</w:t>
      </w:r>
      <w:r>
        <w:rPr>
          <w:rFonts w:hint="eastAsia" w:ascii="黑体" w:hAnsi="宋体" w:eastAsia="黑体" w:cs="黑体"/>
          <w:b/>
          <w:bCs/>
          <w:color w:val="000000"/>
        </w:rPr>
        <w:t>．</w:t>
      </w:r>
      <w:r>
        <w:rPr>
          <w:rFonts w:ascii="黑体" w:hAnsi="宋体" w:eastAsia="黑体" w:cs="黑体"/>
          <w:b/>
          <w:bCs/>
          <w:color w:val="000000"/>
        </w:rPr>
        <w:t xml:space="preserve"> </w:t>
      </w:r>
      <w:r>
        <w:rPr>
          <w:rFonts w:hint="eastAsia" w:ascii="黑体" w:hAnsi="宋体" w:eastAsia="黑体" w:cs="黑体"/>
          <w:b/>
          <w:bCs/>
          <w:color w:val="000000"/>
        </w:rPr>
        <w:t>术语与定义</w:t>
      </w:r>
    </w:p>
    <w:p>
      <w:pPr>
        <w:snapToGrid w:val="0"/>
        <w:spacing w:line="360" w:lineRule="auto"/>
        <w:ind w:firstLine="420" w:firstLineChars="200"/>
        <w:rPr>
          <w:rFonts w:ascii="宋体"/>
          <w:color w:val="000000"/>
        </w:rPr>
      </w:pPr>
      <w:r>
        <w:rPr>
          <w:rFonts w:hint="eastAsia" w:ascii="宋体" w:hAnsi="宋体" w:cs="宋体"/>
          <w:color w:val="000000"/>
        </w:rPr>
        <w:t>本细则未列出的术语和定义同相关引用标准。</w:t>
      </w:r>
    </w:p>
    <w:p>
      <w:pPr>
        <w:spacing w:line="360" w:lineRule="auto"/>
        <w:rPr>
          <w:rFonts w:ascii="黑体" w:hAnsi="宋体" w:eastAsia="黑体"/>
          <w:b/>
          <w:bCs/>
          <w:color w:val="000000"/>
        </w:rPr>
      </w:pPr>
      <w:r>
        <w:rPr>
          <w:rFonts w:ascii="黑体" w:hAnsi="宋体" w:eastAsia="黑体" w:cs="黑体"/>
          <w:b/>
          <w:bCs/>
          <w:color w:val="000000"/>
        </w:rPr>
        <w:t>4</w:t>
      </w:r>
      <w:r>
        <w:rPr>
          <w:rFonts w:hint="eastAsia" w:ascii="黑体" w:hAnsi="宋体" w:eastAsia="黑体" w:cs="黑体"/>
          <w:b/>
          <w:bCs/>
          <w:color w:val="000000"/>
        </w:rPr>
        <w:t>．检验依据</w:t>
      </w:r>
    </w:p>
    <w:p>
      <w:pPr>
        <w:snapToGrid w:val="0"/>
        <w:spacing w:line="360" w:lineRule="auto"/>
        <w:ind w:firstLine="359" w:firstLineChars="171"/>
        <w:rPr>
          <w:rFonts w:ascii="宋体"/>
          <w:color w:val="000000"/>
        </w:rPr>
      </w:pPr>
      <w:r>
        <w:rPr>
          <w:rFonts w:hint="eastAsia" w:ascii="宋体" w:hAnsi="宋体" w:cs="宋体"/>
          <w:color w:val="000000"/>
        </w:rPr>
        <w:t>凡是注日期的文件，其随后所有的修改单（不包括勘误的内容）或修订版不适用于本细则。凡是不注日期的文件，其最新版本适用于本细则。</w:t>
      </w:r>
    </w:p>
    <w:p>
      <w:pPr>
        <w:snapToGrid w:val="0"/>
        <w:spacing w:line="360" w:lineRule="auto"/>
        <w:ind w:firstLine="420" w:firstLineChars="200"/>
        <w:rPr>
          <w:rFonts w:ascii="宋体"/>
        </w:rPr>
      </w:pPr>
      <w:r>
        <w:rPr>
          <w:rFonts w:ascii="宋体" w:hAnsi="宋体" w:cs="宋体"/>
          <w:color w:val="000000"/>
        </w:rPr>
        <w:t>GB 19147-2016</w:t>
      </w:r>
      <w:r>
        <w:rPr>
          <w:rFonts w:hint="eastAsia" w:ascii="宋体" w:hAnsi="宋体" w:cs="宋体"/>
        </w:rPr>
        <w:t>车用柴油</w:t>
      </w:r>
    </w:p>
    <w:p>
      <w:pPr>
        <w:snapToGrid w:val="0"/>
        <w:spacing w:line="360" w:lineRule="auto"/>
        <w:ind w:firstLine="420" w:firstLineChars="200"/>
        <w:rPr>
          <w:rFonts w:ascii="宋体"/>
        </w:rPr>
      </w:pPr>
      <w:r>
        <w:rPr>
          <w:rFonts w:hint="eastAsia" w:ascii="宋体" w:hAnsi="宋体" w:cs="宋体"/>
        </w:rPr>
        <w:t>相关的法律法规、部门规章和规定</w:t>
      </w:r>
    </w:p>
    <w:p>
      <w:pPr>
        <w:snapToGrid w:val="0"/>
        <w:spacing w:line="360" w:lineRule="auto"/>
        <w:ind w:firstLine="357" w:firstLineChars="170"/>
        <w:rPr>
          <w:rFonts w:ascii="宋体"/>
          <w:color w:val="000000"/>
        </w:rPr>
      </w:pPr>
      <w:r>
        <w:rPr>
          <w:rFonts w:hint="eastAsia" w:ascii="宋体" w:hAnsi="宋体" w:cs="宋体"/>
          <w:color w:val="000000"/>
        </w:rPr>
        <w:t>经网上自我声明公开或备案的现行有效企业标准及产品明示质量要求。</w:t>
      </w:r>
    </w:p>
    <w:p>
      <w:pPr>
        <w:spacing w:line="360" w:lineRule="auto"/>
        <w:rPr>
          <w:rFonts w:ascii="黑体" w:hAnsi="宋体" w:eastAsia="黑体"/>
          <w:b/>
          <w:bCs/>
          <w:color w:val="000000"/>
        </w:rPr>
      </w:pPr>
      <w:r>
        <w:rPr>
          <w:rFonts w:ascii="黑体" w:hAnsi="宋体" w:eastAsia="黑体" w:cs="黑体"/>
          <w:b/>
          <w:bCs/>
          <w:color w:val="000000"/>
        </w:rPr>
        <w:t>5</w:t>
      </w:r>
      <w:r>
        <w:rPr>
          <w:rFonts w:hint="eastAsia" w:ascii="黑体" w:hAnsi="宋体" w:eastAsia="黑体" w:cs="黑体"/>
          <w:b/>
          <w:bCs/>
          <w:color w:val="000000"/>
        </w:rPr>
        <w:t>．抽样要求</w:t>
      </w:r>
    </w:p>
    <w:p>
      <w:pPr>
        <w:spacing w:line="360" w:lineRule="auto"/>
        <w:rPr>
          <w:rFonts w:ascii="宋体"/>
          <w:color w:val="000000"/>
        </w:rPr>
      </w:pPr>
      <w:r>
        <w:rPr>
          <w:rFonts w:ascii="宋体" w:hAnsi="宋体" w:cs="宋体"/>
          <w:color w:val="000000"/>
        </w:rPr>
        <w:t>5.1</w:t>
      </w:r>
      <w:r>
        <w:rPr>
          <w:rFonts w:hint="eastAsia" w:ascii="宋体" w:hAnsi="宋体" w:cs="宋体"/>
          <w:color w:val="000000"/>
        </w:rPr>
        <w:t>　抽样方法</w:t>
      </w:r>
    </w:p>
    <w:p>
      <w:pPr>
        <w:snapToGrid w:val="0"/>
        <w:spacing w:line="360" w:lineRule="auto"/>
        <w:ind w:firstLine="359" w:firstLineChars="171"/>
        <w:rPr>
          <w:rFonts w:hint="eastAsia" w:ascii="宋体" w:hAnsi="宋体"/>
          <w:szCs w:val="21"/>
        </w:rPr>
      </w:pPr>
      <w:r>
        <w:rPr>
          <w:rFonts w:ascii="宋体" w:hAnsi="宋体"/>
          <w:szCs w:val="21"/>
        </w:rPr>
        <w:t>抽样地点为</w:t>
      </w:r>
      <w:r>
        <w:rPr>
          <w:rFonts w:hint="eastAsia" w:ascii="宋体" w:hAnsi="宋体"/>
          <w:szCs w:val="21"/>
          <w:lang w:eastAsia="zh-CN"/>
        </w:rPr>
        <w:t>流通领域的</w:t>
      </w:r>
      <w:r>
        <w:rPr>
          <w:rFonts w:hint="eastAsia" w:ascii="宋体" w:hAnsi="宋体"/>
          <w:szCs w:val="21"/>
        </w:rPr>
        <w:t>加油站网点</w:t>
      </w:r>
      <w:r>
        <w:rPr>
          <w:rFonts w:hint="eastAsia" w:ascii="宋体" w:hAnsi="宋体"/>
          <w:szCs w:val="21"/>
          <w:lang w:eastAsia="zh-CN"/>
        </w:rPr>
        <w:t>或</w:t>
      </w:r>
      <w:r>
        <w:rPr>
          <w:rFonts w:hint="eastAsia" w:ascii="宋体" w:hAnsi="宋体"/>
          <w:szCs w:val="21"/>
        </w:rPr>
        <w:t>仓储</w:t>
      </w:r>
      <w:r>
        <w:rPr>
          <w:rFonts w:hint="eastAsia" w:ascii="宋体" w:hAnsi="宋体"/>
          <w:szCs w:val="21"/>
          <w:lang w:eastAsia="zh-CN"/>
        </w:rPr>
        <w:t>油船</w:t>
      </w:r>
      <w:r>
        <w:rPr>
          <w:rFonts w:hint="eastAsia" w:ascii="宋体" w:hAnsi="宋体"/>
          <w:szCs w:val="21"/>
        </w:rPr>
        <w:t>。在加油站直接从加油枪中取样</w:t>
      </w:r>
      <w:r>
        <w:rPr>
          <w:rFonts w:hint="eastAsia" w:ascii="宋体" w:hAnsi="宋体"/>
          <w:szCs w:val="21"/>
          <w:lang w:eastAsia="zh-CN"/>
        </w:rPr>
        <w:t>，</w:t>
      </w:r>
      <w:r>
        <w:rPr>
          <w:rFonts w:hint="eastAsia" w:ascii="宋体" w:hAnsi="宋体"/>
          <w:szCs w:val="21"/>
        </w:rPr>
        <w:t>在仓储</w:t>
      </w:r>
      <w:r>
        <w:rPr>
          <w:rFonts w:hint="eastAsia" w:ascii="宋体" w:hAnsi="宋体"/>
          <w:szCs w:val="21"/>
          <w:lang w:eastAsia="zh-CN"/>
        </w:rPr>
        <w:t>油船</w:t>
      </w:r>
      <w:r>
        <w:rPr>
          <w:rFonts w:hint="eastAsia" w:ascii="宋体" w:hAnsi="宋体"/>
          <w:szCs w:val="21"/>
        </w:rPr>
        <w:t>取样采用等比例混合上部样、中部样和下部样的组合样。</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.2  抽样基数</w:t>
      </w:r>
    </w:p>
    <w:p>
      <w:pPr>
        <w:keepNext w:val="0"/>
        <w:keepLines w:val="0"/>
        <w:pageBreakBefore w:val="0"/>
        <w:kinsoku/>
        <w:wordWrap/>
        <w:overflowPunct/>
        <w:topLinePunct w:val="0"/>
        <w:autoSpaceDE/>
        <w:autoSpaceDN/>
        <w:bidi w:val="0"/>
        <w:spacing w:line="360" w:lineRule="auto"/>
        <w:ind w:firstLine="420" w:firstLineChars="200"/>
        <w:rPr>
          <w:rFonts w:hint="eastAsia" w:ascii="宋体" w:hAnsi="宋体"/>
        </w:rPr>
      </w:pPr>
      <w:r>
        <w:rPr>
          <w:rFonts w:hint="eastAsia" w:ascii="宋体" w:hAnsi="宋体"/>
        </w:rPr>
        <w:t>以油罐中现存的油样作为抽样批来计算基数。</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.3　抽样数量</w:t>
      </w:r>
    </w:p>
    <w:p>
      <w:pPr>
        <w:spacing w:line="360" w:lineRule="auto"/>
        <w:ind w:firstLine="420" w:firstLineChars="200"/>
        <w:rPr>
          <w:rFonts w:hint="eastAsia"/>
        </w:rPr>
      </w:pPr>
      <w:r>
        <w:rPr>
          <w:rFonts w:hint="eastAsia"/>
        </w:rPr>
        <w:t>样品取样数量为4L，平均分成两份，其中一份作为检验样品，另一份作为备</w:t>
      </w:r>
      <w:r>
        <w:rPr>
          <w:rFonts w:hint="eastAsia" w:ascii="宋体" w:hAnsi="宋体"/>
          <w:color w:val="000000"/>
          <w:szCs w:val="21"/>
        </w:rPr>
        <w:t>用</w:t>
      </w:r>
      <w:r>
        <w:rPr>
          <w:rFonts w:hint="eastAsia"/>
        </w:rPr>
        <w:t>样品。</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.4</w:t>
      </w:r>
      <w:r>
        <w:rPr>
          <w:rFonts w:hint="eastAsia" w:ascii="宋体" w:hAnsi="宋体"/>
          <w:color w:val="000000"/>
          <w:szCs w:val="21"/>
          <w:lang w:val="en-US" w:eastAsia="zh-CN"/>
        </w:rPr>
        <w:t xml:space="preserve"> </w:t>
      </w:r>
      <w:r>
        <w:rPr>
          <w:rFonts w:hint="eastAsia" w:ascii="宋体" w:hAnsi="宋体"/>
          <w:color w:val="000000"/>
          <w:szCs w:val="21"/>
        </w:rPr>
        <w:t>样品处置</w:t>
      </w:r>
    </w:p>
    <w:p>
      <w:pPr>
        <w:snapToGrid w:val="0"/>
        <w:spacing w:line="360" w:lineRule="auto"/>
        <w:rPr>
          <w:rFonts w:hint="eastAsia" w:ascii="宋体" w:hAnsi="宋体"/>
        </w:rPr>
      </w:pPr>
      <w:r>
        <w:rPr>
          <w:rFonts w:hint="eastAsia" w:ascii="宋体" w:hAnsi="宋体"/>
          <w:color w:val="000000"/>
          <w:szCs w:val="21"/>
          <w:lang w:val="en-US" w:eastAsia="zh-CN"/>
        </w:rPr>
        <w:t>5</w:t>
      </w:r>
      <w:r>
        <w:rPr>
          <w:rFonts w:hint="eastAsia" w:ascii="宋体" w:hAnsi="宋体"/>
          <w:color w:val="000000"/>
          <w:szCs w:val="21"/>
        </w:rPr>
        <w:t>.4.1检验样品和备用样品应分别封样，封样的方式应能有效防止未经授权的拆封。</w:t>
      </w:r>
      <w:r>
        <w:rPr>
          <w:rFonts w:hint="eastAsia" w:ascii="宋体" w:hAnsi="宋体"/>
        </w:rPr>
        <w:t>封样单由抽样人员和被抽样单位陪同人员共同签字</w:t>
      </w:r>
      <w:r>
        <w:rPr>
          <w:rFonts w:hint="eastAsia" w:ascii="宋体" w:hAnsi="宋体"/>
          <w:lang w:eastAsia="zh-CN"/>
        </w:rPr>
        <w:t>确认，必要时</w:t>
      </w:r>
      <w:r>
        <w:rPr>
          <w:rFonts w:hint="eastAsia" w:ascii="宋体" w:hAnsi="宋体"/>
        </w:rPr>
        <w:t>加盖公章。</w:t>
      </w:r>
    </w:p>
    <w:p>
      <w:pPr>
        <w:snapToGrid w:val="0"/>
        <w:spacing w:line="360" w:lineRule="auto"/>
        <w:rPr>
          <w:rFonts w:hint="eastAsia" w:ascii="宋体" w:hAnsi="宋体"/>
        </w:rPr>
      </w:pPr>
      <w:r>
        <w:rPr>
          <w:rFonts w:hint="eastAsia" w:ascii="宋体" w:hAnsi="宋体"/>
          <w:color w:val="000000"/>
          <w:szCs w:val="21"/>
          <w:lang w:val="en-US" w:eastAsia="zh-CN"/>
        </w:rPr>
        <w:t>5.4.2</w:t>
      </w:r>
      <w:r>
        <w:rPr>
          <w:rFonts w:hint="eastAsia" w:ascii="宋体" w:hAnsi="宋体"/>
          <w:szCs w:val="22"/>
        </w:rPr>
        <w:t>抽取的</w:t>
      </w:r>
      <w:r>
        <w:rPr>
          <w:rFonts w:hint="eastAsia" w:ascii="宋体" w:hAnsi="宋体"/>
          <w:szCs w:val="22"/>
          <w:lang w:eastAsia="zh-CN"/>
        </w:rPr>
        <w:t>试验</w:t>
      </w:r>
      <w:r>
        <w:rPr>
          <w:rFonts w:hint="eastAsia" w:ascii="宋体" w:hAnsi="宋体"/>
          <w:szCs w:val="22"/>
        </w:rPr>
        <w:t>样品</w:t>
      </w:r>
      <w:r>
        <w:rPr>
          <w:rFonts w:hint="eastAsia" w:ascii="宋体" w:hAnsi="宋体"/>
          <w:szCs w:val="21"/>
        </w:rPr>
        <w:t>由</w:t>
      </w:r>
      <w:r>
        <w:rPr>
          <w:rFonts w:hint="eastAsia" w:ascii="宋体" w:hAnsi="宋体"/>
          <w:szCs w:val="21"/>
          <w:lang w:eastAsia="zh-CN"/>
        </w:rPr>
        <w:t>被抽样单位或</w:t>
      </w:r>
      <w:r>
        <w:rPr>
          <w:rFonts w:hint="eastAsia" w:ascii="宋体" w:hAnsi="宋体"/>
          <w:szCs w:val="21"/>
        </w:rPr>
        <w:t>抽样人员</w:t>
      </w:r>
      <w:r>
        <w:rPr>
          <w:rFonts w:hint="eastAsia" w:ascii="宋体" w:hAnsi="宋体"/>
          <w:szCs w:val="21"/>
          <w:lang w:eastAsia="zh-CN"/>
        </w:rPr>
        <w:t>送至</w:t>
      </w:r>
      <w:r>
        <w:rPr>
          <w:rFonts w:hint="eastAsia" w:ascii="宋体" w:hAnsi="宋体"/>
          <w:szCs w:val="21"/>
        </w:rPr>
        <w:t>抽样单位</w:t>
      </w:r>
      <w:r>
        <w:rPr>
          <w:rFonts w:hint="eastAsia" w:ascii="宋体" w:hAnsi="宋体"/>
          <w:szCs w:val="22"/>
          <w:lang w:eastAsia="zh-CN"/>
        </w:rPr>
        <w:t>，</w:t>
      </w:r>
      <w:r>
        <w:rPr>
          <w:rFonts w:hint="eastAsia" w:ascii="宋体" w:hAnsi="宋体"/>
          <w:szCs w:val="22"/>
        </w:rPr>
        <w:t>备用样品</w:t>
      </w:r>
      <w:r>
        <w:rPr>
          <w:rFonts w:hint="eastAsia" w:ascii="宋体" w:hAnsi="宋体"/>
          <w:szCs w:val="22"/>
          <w:lang w:eastAsia="zh-CN"/>
        </w:rPr>
        <w:t>封存</w:t>
      </w:r>
      <w:r>
        <w:rPr>
          <w:rFonts w:hint="eastAsia" w:ascii="宋体" w:hAnsi="宋体"/>
          <w:szCs w:val="22"/>
        </w:rPr>
        <w:t>在被抽检商家。在包装与</w:t>
      </w:r>
      <w:r>
        <w:rPr>
          <w:rFonts w:hint="eastAsia" w:ascii="宋体" w:hAnsi="宋体"/>
          <w:szCs w:val="22"/>
          <w:lang w:eastAsia="zh-CN"/>
        </w:rPr>
        <w:t>运输</w:t>
      </w:r>
      <w:r>
        <w:rPr>
          <w:rFonts w:hint="eastAsia" w:ascii="宋体" w:hAnsi="宋体"/>
          <w:szCs w:val="22"/>
        </w:rPr>
        <w:t>中应保证样品与签封的完好无损。</w:t>
      </w:r>
    </w:p>
    <w:p>
      <w:pPr>
        <w:snapToGrid w:val="0"/>
        <w:spacing w:line="360" w:lineRule="auto"/>
        <w:rPr>
          <w:rFonts w:hint="default" w:eastAsia="宋体"/>
          <w:lang w:val="en-US" w:eastAsia="zh-CN"/>
        </w:rPr>
      </w:pPr>
      <w:r>
        <w:rPr>
          <w:rFonts w:hint="eastAsia" w:ascii="宋体" w:hAnsi="宋体" w:eastAsia="宋体"/>
          <w:lang w:val="en-US" w:eastAsia="zh-CN"/>
        </w:rPr>
        <w:t xml:space="preserve">5.4.3 </w:t>
      </w:r>
      <w:r>
        <w:rPr>
          <w:rFonts w:hint="eastAsia" w:ascii="宋体" w:hAnsi="宋体" w:eastAsia="宋体" w:cs="Times New Roman"/>
          <w:color w:val="000000"/>
          <w:spacing w:val="0"/>
          <w:kern w:val="2"/>
          <w:sz w:val="21"/>
          <w:szCs w:val="21"/>
          <w:lang w:val="en-US" w:eastAsia="zh-CN" w:bidi="ar-SA"/>
        </w:rPr>
        <w:t>样品送至抽样单位后，由抽样单位负责样品接收人员和抽样人检查并记录样品签字的真实、封样单的完整以及外观状态等情况，确认样品与抽样单中的记录是否相符</w:t>
      </w:r>
      <w:r>
        <w:rPr>
          <w:rFonts w:hint="eastAsia" w:ascii="宋体" w:hAnsi="宋体" w:cs="Times New Roman"/>
          <w:color w:val="000000"/>
          <w:spacing w:val="0"/>
          <w:kern w:val="2"/>
          <w:sz w:val="21"/>
          <w:szCs w:val="21"/>
          <w:lang w:val="en-US" w:eastAsia="zh-CN" w:bidi="ar-SA"/>
        </w:rPr>
        <w:t>并</w:t>
      </w:r>
      <w:r>
        <w:rPr>
          <w:rFonts w:hint="eastAsia" w:ascii="宋体" w:hAnsi="宋体"/>
        </w:rPr>
        <w:t>对</w:t>
      </w:r>
      <w:r>
        <w:rPr>
          <w:rFonts w:hint="eastAsia" w:ascii="宋体" w:hAnsi="宋体"/>
          <w:lang w:eastAsia="zh-CN"/>
        </w:rPr>
        <w:t>试验</w:t>
      </w:r>
      <w:r>
        <w:rPr>
          <w:rFonts w:hint="eastAsia" w:ascii="宋体" w:hAnsi="宋体"/>
        </w:rPr>
        <w:t>样品作唯一标识后入库。</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.5抽样单</w:t>
      </w:r>
    </w:p>
    <w:p>
      <w:pPr>
        <w:snapToGrid w:val="0"/>
        <w:spacing w:line="360" w:lineRule="auto"/>
        <w:ind w:firstLine="420" w:firstLineChars="200"/>
        <w:rPr>
          <w:rFonts w:ascii="宋体" w:hAnsi="宋体"/>
          <w:szCs w:val="21"/>
        </w:rPr>
      </w:pPr>
      <w:r>
        <w:rPr>
          <w:rFonts w:hint="eastAsia" w:ascii="宋体" w:hAnsi="宋体"/>
          <w:szCs w:val="21"/>
        </w:rPr>
        <w:t>应按有关规定填写抽样单，并记录被抽查</w:t>
      </w:r>
      <w:r>
        <w:rPr>
          <w:rFonts w:hint="eastAsia" w:ascii="宋体" w:hAnsi="宋体"/>
          <w:szCs w:val="21"/>
          <w:lang w:eastAsia="zh-CN"/>
        </w:rPr>
        <w:t>样品</w:t>
      </w:r>
      <w:r>
        <w:rPr>
          <w:rFonts w:hint="eastAsia" w:ascii="宋体" w:hAnsi="宋体"/>
          <w:szCs w:val="21"/>
        </w:rPr>
        <w:t>及企业相关信息。</w:t>
      </w:r>
    </w:p>
    <w:p>
      <w:pPr>
        <w:keepNext w:val="0"/>
        <w:keepLines w:val="0"/>
        <w:pageBreakBefore w:val="0"/>
        <w:kinsoku/>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5.6抽样费用</w:t>
      </w:r>
    </w:p>
    <w:p>
      <w:pPr>
        <w:pStyle w:val="2"/>
        <w:rPr>
          <w:rFonts w:hint="eastAsia"/>
        </w:rPr>
      </w:pPr>
      <w:r>
        <w:rPr>
          <w:rFonts w:hint="eastAsia" w:ascii="宋体" w:hAnsi="宋体" w:eastAsia="宋体"/>
          <w:color w:val="000000"/>
          <w:szCs w:val="21"/>
          <w:lang w:val="en-US" w:eastAsia="zh-CN"/>
        </w:rPr>
        <w:t xml:space="preserve">   </w:t>
      </w:r>
      <w:r>
        <w:rPr>
          <w:rFonts w:hint="eastAsia" w:ascii="宋体" w:hAnsi="宋体" w:eastAsia="宋体" w:cs="Times New Roman"/>
          <w:color w:val="000000"/>
          <w:spacing w:val="0"/>
          <w:kern w:val="2"/>
          <w:sz w:val="21"/>
          <w:szCs w:val="21"/>
          <w:lang w:val="en-US" w:eastAsia="zh-CN" w:bidi="ar-SA"/>
        </w:rPr>
        <w:t>付费购买，或由被抽样商家无偿提供。</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szCs w:val="21"/>
          <w:lang w:val="en-US" w:eastAsia="zh-CN"/>
        </w:rPr>
        <w:t>7</w:t>
      </w:r>
      <w:r>
        <w:rPr>
          <w:rFonts w:hint="eastAsia" w:ascii="宋体" w:hAnsi="宋体"/>
          <w:color w:val="000000"/>
          <w:szCs w:val="21"/>
        </w:rPr>
        <w:t>　注意事项</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5.7.1 抽样的容器必须采用专用的棕色玻璃瓶或金属容器，且不透光。</w:t>
      </w:r>
    </w:p>
    <w:p>
      <w:pPr>
        <w:keepNext w:val="0"/>
        <w:keepLines w:val="0"/>
        <w:pageBreakBefore w:val="0"/>
        <w:kinsoku/>
        <w:wordWrap/>
        <w:overflowPunct/>
        <w:topLinePunct w:val="0"/>
        <w:autoSpaceDE/>
        <w:autoSpaceDN/>
        <w:bidi w:val="0"/>
        <w:spacing w:line="360" w:lineRule="auto"/>
        <w:rPr>
          <w:rFonts w:hint="eastAsia" w:ascii="宋体" w:hAnsi="宋体"/>
          <w:color w:val="000000"/>
          <w:szCs w:val="21"/>
          <w:lang w:val="en-US" w:eastAsia="zh-CN"/>
        </w:rPr>
      </w:pPr>
      <w:r>
        <w:rPr>
          <w:rFonts w:hint="eastAsia" w:ascii="宋体" w:hAnsi="宋体"/>
          <w:color w:val="000000"/>
          <w:szCs w:val="21"/>
          <w:lang w:val="en-US" w:eastAsia="zh-CN"/>
        </w:rPr>
        <w:t>5.7.2 抽样前应确保抽样容器清洁干燥，并用待取样品对容器润洗2至3次，再进行取样。</w:t>
      </w:r>
    </w:p>
    <w:p>
      <w:pPr>
        <w:keepNext w:val="0"/>
        <w:keepLines w:val="0"/>
        <w:pageBreakBefore w:val="0"/>
        <w:kinsoku/>
        <w:wordWrap/>
        <w:overflowPunct/>
        <w:topLinePunct w:val="0"/>
        <w:autoSpaceDE/>
        <w:autoSpaceDN/>
        <w:bidi w:val="0"/>
        <w:spacing w:line="360" w:lineRule="auto"/>
        <w:rPr>
          <w:rFonts w:hint="eastAsia" w:ascii="宋体" w:hAnsi="宋体" w:eastAsia="宋体" w:cs="Times New Roman"/>
          <w:color w:val="000000"/>
          <w:szCs w:val="21"/>
          <w:lang w:val="en-US" w:eastAsia="zh-CN"/>
        </w:rPr>
      </w:pPr>
      <w:r>
        <w:rPr>
          <w:rFonts w:hint="eastAsia" w:ascii="宋体" w:hAnsi="宋体"/>
          <w:color w:val="000000"/>
          <w:szCs w:val="21"/>
          <w:lang w:val="en-US" w:eastAsia="zh-CN"/>
        </w:rPr>
        <w:t>5.7.3 抽样过程应避光进行（可把油枪尽量伸入取样瓶中，取好油样迅速取出油枪，盖上瓶盖），样品在储存和</w:t>
      </w:r>
      <w:r>
        <w:rPr>
          <w:rFonts w:hint="eastAsia" w:ascii="宋体" w:hAnsi="宋体" w:eastAsia="宋体" w:cs="Times New Roman"/>
          <w:color w:val="000000"/>
          <w:szCs w:val="21"/>
          <w:lang w:val="en-US" w:eastAsia="zh-CN"/>
        </w:rPr>
        <w:t>运输过程中也应密闭避光保存。</w:t>
      </w:r>
    </w:p>
    <w:p>
      <w:pPr>
        <w:keepNext w:val="0"/>
        <w:keepLines w:val="0"/>
        <w:pageBreakBefore w:val="0"/>
        <w:kinsoku/>
        <w:wordWrap/>
        <w:overflowPunct/>
        <w:topLinePunct w:val="0"/>
        <w:autoSpaceDE/>
        <w:autoSpaceDN/>
        <w:bidi w:val="0"/>
        <w:spacing w:line="360" w:lineRule="auto"/>
        <w:rPr>
          <w:rFonts w:hint="default"/>
          <w:lang w:val="en-US" w:eastAsia="zh-CN"/>
        </w:rPr>
      </w:pPr>
      <w:r>
        <w:rPr>
          <w:rFonts w:hint="eastAsia" w:ascii="宋体" w:hAnsi="宋体" w:eastAsia="宋体" w:cs="Times New Roman"/>
          <w:color w:val="000000"/>
          <w:szCs w:val="21"/>
          <w:lang w:val="en-US" w:eastAsia="zh-CN"/>
        </w:rPr>
        <w:t>5.7.4 备用样品封</w:t>
      </w:r>
      <w:r>
        <w:rPr>
          <w:rFonts w:hint="eastAsia" w:ascii="宋体" w:hAnsi="宋体" w:eastAsia="宋体" w:cs="Times New Roman"/>
          <w:color w:val="000000"/>
          <w:spacing w:val="0"/>
          <w:kern w:val="2"/>
          <w:sz w:val="21"/>
          <w:szCs w:val="21"/>
          <w:lang w:val="en-US" w:eastAsia="zh-CN" w:bidi="ar-SA"/>
        </w:rPr>
        <w:t>存和处置告知单应由经营单位确认，抽样人员将封存好的备用样品拍照留底。</w:t>
      </w:r>
    </w:p>
    <w:p>
      <w:pPr>
        <w:spacing w:line="360" w:lineRule="auto"/>
        <w:rPr>
          <w:rFonts w:ascii="黑体" w:hAnsi="宋体" w:eastAsia="黑体"/>
          <w:b/>
          <w:bCs/>
          <w:color w:val="000000"/>
        </w:rPr>
      </w:pPr>
      <w:r>
        <w:rPr>
          <w:rFonts w:ascii="黑体" w:hAnsi="宋体" w:eastAsia="黑体" w:cs="黑体"/>
          <w:b/>
          <w:bCs/>
          <w:color w:val="000000"/>
        </w:rPr>
        <w:t xml:space="preserve">6. </w:t>
      </w:r>
      <w:r>
        <w:rPr>
          <w:rFonts w:hint="eastAsia" w:ascii="黑体" w:hAnsi="宋体" w:eastAsia="黑体" w:cs="黑体"/>
          <w:b/>
          <w:bCs/>
          <w:color w:val="000000"/>
        </w:rPr>
        <w:t>检验要求</w:t>
      </w:r>
    </w:p>
    <w:p>
      <w:pPr>
        <w:spacing w:line="360" w:lineRule="auto"/>
        <w:rPr>
          <w:rFonts w:ascii="宋体"/>
          <w:color w:val="000000"/>
        </w:rPr>
      </w:pPr>
      <w:r>
        <w:rPr>
          <w:rFonts w:ascii="黑体" w:hAnsi="宋体" w:eastAsia="黑体" w:cs="黑体"/>
          <w:color w:val="000000"/>
        </w:rPr>
        <w:t xml:space="preserve">6.1 </w:t>
      </w:r>
      <w:r>
        <w:rPr>
          <w:rFonts w:hint="eastAsia" w:ascii="宋体" w:cs="宋体"/>
          <w:color w:val="000000"/>
        </w:rPr>
        <w:t>检验项目</w:t>
      </w:r>
      <w:r>
        <w:rPr>
          <w:rFonts w:hint="eastAsia" w:cs="宋体"/>
          <w:color w:val="000000"/>
        </w:rPr>
        <w:t>及重要程度分类</w:t>
      </w:r>
      <w:r>
        <w:rPr>
          <w:rFonts w:hint="eastAsia" w:ascii="宋体" w:cs="宋体"/>
          <w:color w:val="000000"/>
        </w:rPr>
        <w:t>见表</w:t>
      </w:r>
      <w:r>
        <w:rPr>
          <w:rFonts w:hint="eastAsia" w:ascii="宋体" w:cs="宋体"/>
          <w:color w:val="000000"/>
          <w:lang w:val="en-US" w:eastAsia="zh-CN"/>
        </w:rPr>
        <w:t>2</w:t>
      </w:r>
      <w:r>
        <w:rPr>
          <w:rFonts w:hint="eastAsia" w:ascii="宋体" w:cs="宋体"/>
          <w:color w:val="000000"/>
        </w:rPr>
        <w:t>。</w:t>
      </w:r>
    </w:p>
    <w:p>
      <w:pPr>
        <w:snapToGrid w:val="0"/>
        <w:spacing w:line="360" w:lineRule="auto"/>
        <w:jc w:val="center"/>
        <w:rPr>
          <w:rFonts w:ascii="宋体"/>
          <w:color w:val="000000"/>
        </w:rPr>
      </w:pPr>
      <w:r>
        <w:rPr>
          <w:rFonts w:hint="eastAsia" w:ascii="宋体" w:cs="宋体"/>
          <w:color w:val="000000"/>
        </w:rPr>
        <w:t>表</w:t>
      </w:r>
      <w:r>
        <w:rPr>
          <w:rFonts w:hint="eastAsia" w:ascii="宋体" w:cs="宋体"/>
          <w:color w:val="000000"/>
          <w:lang w:val="en-US" w:eastAsia="zh-CN"/>
        </w:rPr>
        <w:t xml:space="preserve">2 </w:t>
      </w:r>
      <w:r>
        <w:rPr>
          <w:rFonts w:hint="eastAsia" w:ascii="宋体" w:cs="宋体"/>
          <w:color w:val="000000"/>
        </w:rPr>
        <w:t>车用柴油检验项目</w:t>
      </w:r>
      <w:r>
        <w:rPr>
          <w:rFonts w:hint="eastAsia" w:cs="宋体"/>
          <w:color w:val="000000"/>
        </w:rPr>
        <w:t>及重要程度分类</w:t>
      </w:r>
    </w:p>
    <w:tbl>
      <w:tblPr>
        <w:tblStyle w:val="5"/>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36"/>
        <w:gridCol w:w="1971"/>
        <w:gridCol w:w="2146"/>
        <w:gridCol w:w="1650"/>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668"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序号</w:t>
            </w:r>
          </w:p>
        </w:tc>
        <w:tc>
          <w:tcPr>
            <w:tcW w:w="1636"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检验项目</w:t>
            </w:r>
          </w:p>
        </w:tc>
        <w:tc>
          <w:tcPr>
            <w:tcW w:w="1971" w:type="dxa"/>
            <w:noWrap/>
            <w:vAlign w:val="center"/>
          </w:tcPr>
          <w:p>
            <w:pPr>
              <w:adjustRightInd w:val="0"/>
              <w:snapToGrid w:val="0"/>
              <w:spacing w:line="360" w:lineRule="auto"/>
              <w:jc w:val="center"/>
              <w:rPr>
                <w:rFonts w:ascii="宋体"/>
                <w:color w:val="000000"/>
              </w:rPr>
            </w:pPr>
            <w:r>
              <w:rPr>
                <w:rFonts w:hint="eastAsia" w:ascii="宋体" w:hAnsi="宋体" w:cs="宋体"/>
                <w:color w:val="000000"/>
              </w:rPr>
              <w:t>依据标准及条款</w:t>
            </w:r>
          </w:p>
        </w:tc>
        <w:tc>
          <w:tcPr>
            <w:tcW w:w="2146" w:type="dxa"/>
            <w:noWrap/>
            <w:vAlign w:val="center"/>
          </w:tcPr>
          <w:p>
            <w:pPr>
              <w:adjustRightInd w:val="0"/>
              <w:snapToGrid w:val="0"/>
              <w:spacing w:line="360" w:lineRule="auto"/>
              <w:jc w:val="center"/>
              <w:rPr>
                <w:rFonts w:ascii="宋体"/>
                <w:color w:val="000000"/>
              </w:rPr>
            </w:pPr>
            <w:r>
              <w:rPr>
                <w:rFonts w:hint="eastAsia" w:ascii="宋体" w:hAnsi="宋体" w:cs="宋体"/>
                <w:color w:val="000000"/>
              </w:rPr>
              <w:t>检验方法及条款</w:t>
            </w:r>
          </w:p>
        </w:tc>
        <w:tc>
          <w:tcPr>
            <w:tcW w:w="1650"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重要程度类别</w:t>
            </w:r>
          </w:p>
        </w:tc>
        <w:tc>
          <w:tcPr>
            <w:tcW w:w="738" w:type="dxa"/>
            <w:noWrap/>
            <w:vAlign w:val="center"/>
          </w:tcPr>
          <w:p>
            <w:pPr>
              <w:pStyle w:val="4"/>
              <w:adjustRightInd w:val="0"/>
              <w:snapToGrid w:val="0"/>
              <w:spacing w:line="360" w:lineRule="auto"/>
              <w:jc w:val="center"/>
              <w:rPr>
                <w:rFonts w:hAnsi="宋体" w:cs="Times New Roman"/>
                <w:color w:val="000000"/>
              </w:rPr>
            </w:pPr>
            <w:r>
              <w:rPr>
                <w:rFonts w:hint="eastAsia"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668" w:type="dxa"/>
            <w:noWrap/>
            <w:vAlign w:val="center"/>
          </w:tcPr>
          <w:p>
            <w:pPr>
              <w:adjustRightInd w:val="0"/>
              <w:snapToGrid w:val="0"/>
              <w:spacing w:line="360" w:lineRule="auto"/>
              <w:jc w:val="center"/>
              <w:rPr>
                <w:rFonts w:ascii="宋体"/>
                <w:color w:val="000000"/>
              </w:rPr>
            </w:pPr>
            <w:r>
              <w:rPr>
                <w:rFonts w:ascii="宋体" w:hAnsi="宋体" w:cs="宋体"/>
                <w:color w:val="000000"/>
              </w:rPr>
              <w:t>1</w:t>
            </w:r>
          </w:p>
        </w:tc>
        <w:tc>
          <w:tcPr>
            <w:tcW w:w="1636" w:type="dxa"/>
            <w:noWrap/>
            <w:vAlign w:val="center"/>
          </w:tcPr>
          <w:p>
            <w:pPr>
              <w:adjustRightInd w:val="0"/>
              <w:snapToGrid w:val="0"/>
              <w:spacing w:line="360" w:lineRule="auto"/>
              <w:jc w:val="center"/>
              <w:rPr>
                <w:rFonts w:ascii="宋体"/>
                <w:color w:val="000000"/>
              </w:rPr>
            </w:pPr>
            <w:r>
              <w:rPr>
                <w:rFonts w:hint="eastAsia" w:ascii="宋体" w:hAnsi="宋体" w:cs="宋体"/>
                <w:color w:val="000000"/>
                <w:kern w:val="0"/>
              </w:rPr>
              <w:t>密度（20℃）</w:t>
            </w:r>
          </w:p>
        </w:tc>
        <w:tc>
          <w:tcPr>
            <w:tcW w:w="1971" w:type="dxa"/>
            <w:noWrap/>
            <w:vAlign w:val="center"/>
          </w:tcPr>
          <w:p>
            <w:pPr>
              <w:adjustRightInd w:val="0"/>
              <w:snapToGrid w:val="0"/>
              <w:spacing w:line="360" w:lineRule="auto"/>
              <w:jc w:val="center"/>
              <w:rPr>
                <w:rFonts w:ascii="宋体"/>
                <w:color w:val="000000"/>
              </w:rPr>
            </w:pPr>
            <w:r>
              <w:rPr>
                <w:rFonts w:ascii="宋体" w:hAnsi="宋体" w:cs="宋体"/>
              </w:rPr>
              <w:t>GB19147-2016</w:t>
            </w:r>
          </w:p>
        </w:tc>
        <w:tc>
          <w:tcPr>
            <w:tcW w:w="2146" w:type="dxa"/>
            <w:noWrap/>
            <w:vAlign w:val="center"/>
          </w:tcPr>
          <w:p>
            <w:pPr>
              <w:adjustRightInd w:val="0"/>
              <w:snapToGrid w:val="0"/>
              <w:spacing w:line="360" w:lineRule="auto"/>
              <w:jc w:val="center"/>
              <w:rPr>
                <w:rFonts w:ascii="宋体"/>
              </w:rPr>
            </w:pPr>
            <w:r>
              <w:rPr>
                <w:rFonts w:ascii="宋体" w:hAnsi="宋体" w:cs="宋体"/>
              </w:rPr>
              <w:t>GB/T 1884-2000</w:t>
            </w:r>
          </w:p>
          <w:p>
            <w:pPr>
              <w:adjustRightInd w:val="0"/>
              <w:snapToGrid w:val="0"/>
              <w:spacing w:line="360" w:lineRule="auto"/>
              <w:jc w:val="center"/>
              <w:rPr>
                <w:rFonts w:ascii="宋体"/>
              </w:rPr>
            </w:pPr>
            <w:r>
              <w:rPr>
                <w:rFonts w:ascii="宋体" w:hAnsi="宋体" w:cs="宋体"/>
              </w:rPr>
              <w:t>GB/T 1885-1998</w:t>
            </w:r>
          </w:p>
        </w:tc>
        <w:tc>
          <w:tcPr>
            <w:tcW w:w="1650" w:type="dxa"/>
            <w:noWrap/>
            <w:vAlign w:val="center"/>
          </w:tcPr>
          <w:p>
            <w:pPr>
              <w:adjustRightInd w:val="0"/>
              <w:snapToGrid w:val="0"/>
              <w:spacing w:line="360" w:lineRule="auto"/>
              <w:jc w:val="center"/>
              <w:rPr>
                <w:rFonts w:ascii="宋体"/>
                <w:lang w:val="de-DE"/>
              </w:rPr>
            </w:pPr>
            <w:r>
              <w:rPr>
                <w:rFonts w:ascii="宋体" w:hAnsi="宋体" w:cs="宋体"/>
              </w:rPr>
              <w:t>B</w:t>
            </w:r>
          </w:p>
        </w:tc>
        <w:tc>
          <w:tcPr>
            <w:tcW w:w="738" w:type="dxa"/>
            <w:noWrap/>
            <w:vAlign w:val="center"/>
          </w:tcPr>
          <w:p>
            <w:pPr>
              <w:widowControl/>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68" w:type="dxa"/>
            <w:noWrap/>
            <w:vAlign w:val="center"/>
          </w:tcPr>
          <w:p>
            <w:pPr>
              <w:adjustRightInd w:val="0"/>
              <w:snapToGrid w:val="0"/>
              <w:spacing w:line="360" w:lineRule="auto"/>
              <w:jc w:val="center"/>
              <w:rPr>
                <w:rFonts w:ascii="宋体"/>
                <w:color w:val="000000"/>
              </w:rPr>
            </w:pPr>
            <w:r>
              <w:rPr>
                <w:rFonts w:ascii="宋体" w:hAnsi="宋体" w:cs="宋体"/>
                <w:color w:val="000000"/>
              </w:rPr>
              <w:t>2</w:t>
            </w:r>
          </w:p>
        </w:tc>
        <w:tc>
          <w:tcPr>
            <w:tcW w:w="1636" w:type="dxa"/>
            <w:noWrap/>
            <w:vAlign w:val="center"/>
          </w:tcPr>
          <w:p>
            <w:pPr>
              <w:widowControl/>
              <w:spacing w:line="360" w:lineRule="auto"/>
              <w:jc w:val="center"/>
              <w:textAlignment w:val="top"/>
              <w:rPr>
                <w:rFonts w:ascii="宋体"/>
                <w:color w:val="000000"/>
              </w:rPr>
            </w:pPr>
            <w:r>
              <w:rPr>
                <w:rFonts w:hint="eastAsia" w:ascii="宋体" w:hAnsi="宋体" w:cs="宋体"/>
                <w:color w:val="000000"/>
                <w:kern w:val="0"/>
              </w:rPr>
              <w:t>馏程</w:t>
            </w:r>
          </w:p>
        </w:tc>
        <w:tc>
          <w:tcPr>
            <w:tcW w:w="1971" w:type="dxa"/>
            <w:noWrap/>
            <w:vAlign w:val="center"/>
          </w:tcPr>
          <w:p>
            <w:pPr>
              <w:adjustRightInd w:val="0"/>
              <w:snapToGrid w:val="0"/>
              <w:spacing w:line="360" w:lineRule="auto"/>
              <w:jc w:val="center"/>
              <w:rPr>
                <w:rFonts w:ascii="宋体"/>
                <w:color w:val="000000"/>
              </w:rPr>
            </w:pPr>
            <w:r>
              <w:rPr>
                <w:rFonts w:ascii="宋体" w:hAnsi="宋体" w:cs="宋体"/>
              </w:rPr>
              <w:t>GB19147-2016</w:t>
            </w:r>
          </w:p>
        </w:tc>
        <w:tc>
          <w:tcPr>
            <w:tcW w:w="2146" w:type="dxa"/>
            <w:noWrap/>
            <w:vAlign w:val="center"/>
          </w:tcPr>
          <w:p>
            <w:pPr>
              <w:widowControl/>
              <w:spacing w:line="360" w:lineRule="auto"/>
              <w:jc w:val="center"/>
              <w:textAlignment w:val="top"/>
              <w:rPr>
                <w:rFonts w:ascii="宋体"/>
                <w:color w:val="000000"/>
              </w:rPr>
            </w:pPr>
            <w:r>
              <w:rPr>
                <w:rFonts w:ascii="宋体" w:hAnsi="宋体" w:cs="宋体"/>
                <w:color w:val="000000"/>
                <w:kern w:val="0"/>
              </w:rPr>
              <w:t>GB/T 6536-2010</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adjustRightInd w:val="0"/>
              <w:snapToGrid w:val="0"/>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3</w:t>
            </w:r>
          </w:p>
        </w:tc>
        <w:tc>
          <w:tcPr>
            <w:tcW w:w="1636" w:type="dxa"/>
            <w:noWrap/>
            <w:vAlign w:val="center"/>
          </w:tcPr>
          <w:p>
            <w:pPr>
              <w:widowControl/>
              <w:spacing w:line="360" w:lineRule="auto"/>
              <w:jc w:val="center"/>
              <w:textAlignment w:val="top"/>
              <w:rPr>
                <w:rFonts w:hint="eastAsia" w:ascii="宋体" w:eastAsia="宋体"/>
                <w:color w:val="000000"/>
                <w:lang w:eastAsia="zh-CN"/>
              </w:rPr>
            </w:pPr>
            <w:r>
              <w:rPr>
                <w:rFonts w:hint="eastAsia" w:ascii="宋体" w:hAnsi="宋体" w:cs="宋体"/>
                <w:color w:val="000000"/>
                <w:kern w:val="0"/>
              </w:rPr>
              <w:t>闪点</w:t>
            </w:r>
            <w:r>
              <w:rPr>
                <w:rFonts w:hint="eastAsia" w:ascii="宋体" w:hAnsi="宋体" w:cs="宋体"/>
                <w:color w:val="000000"/>
                <w:kern w:val="0"/>
                <w:lang w:eastAsia="zh-CN"/>
              </w:rPr>
              <w:t>（闭口）</w:t>
            </w:r>
          </w:p>
        </w:tc>
        <w:tc>
          <w:tcPr>
            <w:tcW w:w="1971" w:type="dxa"/>
            <w:noWrap/>
            <w:vAlign w:val="center"/>
          </w:tcPr>
          <w:p>
            <w:pPr>
              <w:adjustRightInd w:val="0"/>
              <w:snapToGrid w:val="0"/>
              <w:spacing w:line="360" w:lineRule="auto"/>
              <w:jc w:val="center"/>
              <w:rPr>
                <w:rFonts w:ascii="宋体"/>
                <w:color w:val="000000"/>
              </w:rPr>
            </w:pPr>
            <w:r>
              <w:rPr>
                <w:rFonts w:ascii="宋体" w:hAnsi="宋体" w:cs="宋体"/>
              </w:rPr>
              <w:t>GB19147-2016</w:t>
            </w:r>
          </w:p>
        </w:tc>
        <w:tc>
          <w:tcPr>
            <w:tcW w:w="2146" w:type="dxa"/>
            <w:noWrap/>
            <w:vAlign w:val="center"/>
          </w:tcPr>
          <w:p>
            <w:pPr>
              <w:widowControl/>
              <w:spacing w:line="360" w:lineRule="auto"/>
              <w:jc w:val="center"/>
              <w:textAlignment w:val="top"/>
              <w:rPr>
                <w:rFonts w:hint="default" w:ascii="宋体" w:eastAsia="宋体"/>
                <w:color w:val="000000"/>
                <w:lang w:val="en-US" w:eastAsia="zh-CN"/>
              </w:rPr>
            </w:pPr>
            <w:r>
              <w:rPr>
                <w:rFonts w:ascii="宋体" w:hAnsi="宋体" w:cs="宋体"/>
                <w:color w:val="000000"/>
                <w:kern w:val="0"/>
              </w:rPr>
              <w:t>GB/T 261-20</w:t>
            </w:r>
            <w:r>
              <w:rPr>
                <w:rFonts w:hint="eastAsia" w:ascii="宋体" w:hAnsi="宋体" w:cs="宋体"/>
                <w:color w:val="000000"/>
                <w:kern w:val="0"/>
                <w:lang w:val="en-US" w:eastAsia="zh-CN"/>
              </w:rPr>
              <w:t>21步骤A</w:t>
            </w:r>
          </w:p>
        </w:tc>
        <w:tc>
          <w:tcPr>
            <w:tcW w:w="1650" w:type="dxa"/>
            <w:noWrap/>
            <w:vAlign w:val="center"/>
          </w:tcPr>
          <w:p>
            <w:pPr>
              <w:adjustRightInd w:val="0"/>
              <w:snapToGrid w:val="0"/>
              <w:spacing w:line="360" w:lineRule="auto"/>
              <w:jc w:val="center"/>
              <w:rPr>
                <w:rFonts w:hint="eastAsia" w:ascii="宋体" w:eastAsia="宋体"/>
                <w:lang w:eastAsia="zh-CN"/>
              </w:rPr>
            </w:pPr>
            <w:r>
              <w:rPr>
                <w:rFonts w:hint="eastAsia" w:ascii="宋体" w:hAnsi="宋体" w:cs="宋体"/>
                <w:lang w:val="en-US" w:eastAsia="zh-CN"/>
              </w:rPr>
              <w:t>A</w:t>
            </w:r>
          </w:p>
        </w:tc>
        <w:tc>
          <w:tcPr>
            <w:tcW w:w="738" w:type="dxa"/>
            <w:noWrap/>
            <w:vAlign w:val="center"/>
          </w:tcPr>
          <w:p>
            <w:pPr>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4</w:t>
            </w:r>
          </w:p>
        </w:tc>
        <w:tc>
          <w:tcPr>
            <w:tcW w:w="1636" w:type="dxa"/>
            <w:noWrap/>
            <w:vAlign w:val="center"/>
          </w:tcPr>
          <w:p>
            <w:pPr>
              <w:widowControl/>
              <w:spacing w:line="360" w:lineRule="auto"/>
              <w:jc w:val="center"/>
              <w:textAlignment w:val="top"/>
              <w:rPr>
                <w:rFonts w:ascii="宋体"/>
                <w:color w:val="000000"/>
              </w:rPr>
            </w:pPr>
            <w:r>
              <w:rPr>
                <w:rFonts w:hint="eastAsia" w:ascii="宋体" w:hAnsi="宋体" w:cs="宋体"/>
                <w:color w:val="000000"/>
                <w:kern w:val="0"/>
              </w:rPr>
              <w:t>硫含量</w:t>
            </w:r>
          </w:p>
        </w:tc>
        <w:tc>
          <w:tcPr>
            <w:tcW w:w="1971" w:type="dxa"/>
            <w:noWrap/>
            <w:vAlign w:val="center"/>
          </w:tcPr>
          <w:p>
            <w:pPr>
              <w:widowControl/>
              <w:spacing w:line="360" w:lineRule="auto"/>
              <w:jc w:val="center"/>
              <w:textAlignment w:val="top"/>
              <w:rPr>
                <w:rFonts w:ascii="宋体"/>
                <w:color w:val="000000"/>
              </w:rPr>
            </w:pPr>
            <w:r>
              <w:rPr>
                <w:rFonts w:ascii="宋体" w:hAnsi="宋体" w:cs="宋体"/>
              </w:rPr>
              <w:t>GB19147-2016</w:t>
            </w:r>
          </w:p>
        </w:tc>
        <w:tc>
          <w:tcPr>
            <w:tcW w:w="2146" w:type="dxa"/>
            <w:noWrap/>
            <w:vAlign w:val="center"/>
          </w:tcPr>
          <w:p>
            <w:pPr>
              <w:widowControl/>
              <w:spacing w:line="360" w:lineRule="auto"/>
              <w:jc w:val="center"/>
              <w:textAlignment w:val="top"/>
              <w:rPr>
                <w:rFonts w:ascii="宋体"/>
                <w:color w:val="000000"/>
              </w:rPr>
            </w:pPr>
            <w:r>
              <w:rPr>
                <w:rFonts w:ascii="宋体" w:hAnsi="宋体" w:cs="宋体"/>
                <w:color w:val="000000"/>
                <w:kern w:val="0"/>
              </w:rPr>
              <w:t>SH/T 0689-2000</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widowControl/>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5</w:t>
            </w:r>
          </w:p>
        </w:tc>
        <w:tc>
          <w:tcPr>
            <w:tcW w:w="1636" w:type="dxa"/>
            <w:noWrap/>
            <w:vAlign w:val="center"/>
          </w:tcPr>
          <w:p>
            <w:pPr>
              <w:widowControl/>
              <w:spacing w:line="360" w:lineRule="auto"/>
              <w:jc w:val="center"/>
              <w:textAlignment w:val="top"/>
              <w:rPr>
                <w:rFonts w:ascii="宋体"/>
                <w:color w:val="000000"/>
                <w:kern w:val="0"/>
                <w:highlight w:val="red"/>
              </w:rPr>
            </w:pPr>
            <w:r>
              <w:rPr>
                <w:rFonts w:hint="eastAsia" w:ascii="宋体" w:hAnsi="宋体" w:cs="宋体"/>
              </w:rPr>
              <w:t>冷滤点</w:t>
            </w:r>
          </w:p>
        </w:tc>
        <w:tc>
          <w:tcPr>
            <w:tcW w:w="1971" w:type="dxa"/>
            <w:noWrap/>
            <w:vAlign w:val="center"/>
          </w:tcPr>
          <w:p>
            <w:pPr>
              <w:adjustRightInd w:val="0"/>
              <w:snapToGrid w:val="0"/>
              <w:spacing w:line="360" w:lineRule="auto"/>
              <w:jc w:val="center"/>
              <w:rPr>
                <w:rFonts w:ascii="宋体"/>
              </w:rPr>
            </w:pPr>
            <w:r>
              <w:rPr>
                <w:rFonts w:ascii="宋体" w:hAnsi="宋体" w:cs="宋体"/>
              </w:rPr>
              <w:t>GB 19147-2016</w:t>
            </w:r>
          </w:p>
        </w:tc>
        <w:tc>
          <w:tcPr>
            <w:tcW w:w="2146" w:type="dxa"/>
            <w:noWrap/>
            <w:vAlign w:val="center"/>
          </w:tcPr>
          <w:p>
            <w:pPr>
              <w:widowControl/>
              <w:spacing w:line="360" w:lineRule="auto"/>
              <w:jc w:val="center"/>
              <w:rPr>
                <w:rFonts w:ascii="宋体"/>
                <w:color w:val="000000"/>
                <w:kern w:val="0"/>
              </w:rPr>
            </w:pPr>
            <w:r>
              <w:rPr>
                <w:rFonts w:ascii="宋体" w:hAnsi="宋体" w:cs="宋体"/>
                <w:color w:val="000000"/>
                <w:kern w:val="0"/>
              </w:rPr>
              <w:t>NB/SH/T 0248-2019</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68" w:type="dxa"/>
            <w:noWrap/>
            <w:vAlign w:val="center"/>
          </w:tcPr>
          <w:p>
            <w:pPr>
              <w:adjustRightInd w:val="0"/>
              <w:snapToGrid w:val="0"/>
              <w:spacing w:line="360" w:lineRule="auto"/>
              <w:jc w:val="center"/>
              <w:rPr>
                <w:rFonts w:hint="eastAsia" w:ascii="宋体" w:eastAsia="宋体"/>
                <w:color w:val="000000"/>
                <w:lang w:eastAsia="zh-CN"/>
              </w:rPr>
            </w:pPr>
            <w:r>
              <w:rPr>
                <w:rFonts w:hint="eastAsia" w:ascii="宋体" w:hAnsi="宋体" w:cs="宋体"/>
                <w:color w:val="000000"/>
                <w:lang w:val="en-US" w:eastAsia="zh-CN"/>
              </w:rPr>
              <w:t>6</w:t>
            </w:r>
          </w:p>
        </w:tc>
        <w:tc>
          <w:tcPr>
            <w:tcW w:w="1636" w:type="dxa"/>
            <w:noWrap/>
            <w:vAlign w:val="center"/>
          </w:tcPr>
          <w:p>
            <w:pPr>
              <w:widowControl/>
              <w:spacing w:line="360" w:lineRule="auto"/>
              <w:jc w:val="center"/>
              <w:textAlignment w:val="top"/>
              <w:rPr>
                <w:rFonts w:ascii="宋体"/>
                <w:color w:val="000000"/>
                <w:kern w:val="0"/>
                <w:highlight w:val="red"/>
              </w:rPr>
            </w:pPr>
            <w:r>
              <w:rPr>
                <w:rFonts w:hint="eastAsia" w:ascii="宋体" w:hAnsi="宋体" w:cs="宋体"/>
              </w:rPr>
              <w:t>灰分</w:t>
            </w:r>
          </w:p>
        </w:tc>
        <w:tc>
          <w:tcPr>
            <w:tcW w:w="1971" w:type="dxa"/>
            <w:noWrap/>
            <w:vAlign w:val="center"/>
          </w:tcPr>
          <w:p>
            <w:pPr>
              <w:adjustRightInd w:val="0"/>
              <w:snapToGrid w:val="0"/>
              <w:spacing w:line="360" w:lineRule="auto"/>
              <w:jc w:val="center"/>
              <w:rPr>
                <w:rFonts w:ascii="宋体"/>
              </w:rPr>
            </w:pPr>
            <w:r>
              <w:rPr>
                <w:rFonts w:ascii="宋体" w:hAnsi="宋体" w:cs="宋体"/>
              </w:rPr>
              <w:t>GB 19147-2016</w:t>
            </w:r>
          </w:p>
        </w:tc>
        <w:tc>
          <w:tcPr>
            <w:tcW w:w="2146" w:type="dxa"/>
            <w:noWrap/>
            <w:vAlign w:val="center"/>
          </w:tcPr>
          <w:p>
            <w:pPr>
              <w:widowControl/>
              <w:spacing w:line="360" w:lineRule="auto"/>
              <w:jc w:val="center"/>
              <w:rPr>
                <w:rFonts w:ascii="宋体"/>
                <w:color w:val="000000"/>
                <w:kern w:val="0"/>
              </w:rPr>
            </w:pPr>
            <w:r>
              <w:rPr>
                <w:rFonts w:ascii="宋体" w:hAnsi="宋体" w:cs="宋体"/>
                <w:color w:val="000000"/>
                <w:kern w:val="0"/>
              </w:rPr>
              <w:t>GB/T 508-1985</w:t>
            </w:r>
          </w:p>
        </w:tc>
        <w:tc>
          <w:tcPr>
            <w:tcW w:w="1650" w:type="dxa"/>
            <w:noWrap/>
            <w:vAlign w:val="center"/>
          </w:tcPr>
          <w:p>
            <w:pPr>
              <w:adjustRightInd w:val="0"/>
              <w:snapToGrid w:val="0"/>
              <w:spacing w:line="360" w:lineRule="auto"/>
              <w:jc w:val="center"/>
              <w:rPr>
                <w:rFonts w:ascii="宋体"/>
              </w:rPr>
            </w:pPr>
            <w:r>
              <w:rPr>
                <w:rFonts w:ascii="宋体" w:hAnsi="宋体" w:cs="宋体"/>
              </w:rPr>
              <w:t>B</w:t>
            </w:r>
          </w:p>
        </w:tc>
        <w:tc>
          <w:tcPr>
            <w:tcW w:w="738" w:type="dxa"/>
            <w:noWrap/>
            <w:vAlign w:val="center"/>
          </w:tcPr>
          <w:p>
            <w:pPr>
              <w:adjustRightInd w:val="0"/>
              <w:snapToGrid w:val="0"/>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809" w:type="dxa"/>
            <w:gridSpan w:val="6"/>
            <w:noWrap/>
            <w:vAlign w:val="center"/>
          </w:tcPr>
          <w:p>
            <w:pPr>
              <w:adjustRightInd w:val="0"/>
              <w:snapToGrid w:val="0"/>
              <w:spacing w:line="360" w:lineRule="auto"/>
              <w:rPr>
                <w:rFonts w:ascii="宋体"/>
                <w:color w:val="000000"/>
              </w:rPr>
            </w:pPr>
            <w:r>
              <w:rPr>
                <w:rFonts w:ascii="宋体" w:hAnsi="宋体" w:cs="宋体"/>
                <w:color w:val="000000"/>
              </w:rPr>
              <w:t>A</w:t>
            </w:r>
            <w:r>
              <w:rPr>
                <w:rFonts w:hint="eastAsia" w:ascii="宋体" w:hAnsi="宋体" w:cs="宋体"/>
                <w:color w:val="000000"/>
              </w:rPr>
              <w:t>为极重要质量项目</w:t>
            </w:r>
          </w:p>
          <w:p>
            <w:pPr>
              <w:adjustRightInd w:val="0"/>
              <w:snapToGrid w:val="0"/>
              <w:spacing w:line="360" w:lineRule="auto"/>
              <w:rPr>
                <w:rFonts w:ascii="宋体"/>
              </w:rPr>
            </w:pPr>
            <w:r>
              <w:rPr>
                <w:rFonts w:ascii="宋体" w:hAnsi="宋体" w:cs="宋体"/>
                <w:color w:val="000000"/>
              </w:rPr>
              <w:t>B</w:t>
            </w:r>
            <w:r>
              <w:rPr>
                <w:rFonts w:hint="eastAsia" w:ascii="宋体" w:hAnsi="宋体" w:cs="宋体"/>
                <w:color w:val="000000"/>
              </w:rPr>
              <w:t>为重要质量项目</w:t>
            </w:r>
          </w:p>
        </w:tc>
      </w:tr>
    </w:tbl>
    <w:p>
      <w:pPr>
        <w:snapToGrid w:val="0"/>
        <w:spacing w:line="360" w:lineRule="auto"/>
        <w:jc w:val="center"/>
        <w:rPr>
          <w:rFonts w:ascii="宋体"/>
        </w:rPr>
      </w:pPr>
    </w:p>
    <w:p>
      <w:pPr>
        <w:snapToGrid w:val="0"/>
        <w:spacing w:line="360" w:lineRule="auto"/>
        <w:ind w:firstLine="358" w:firstLineChars="199"/>
        <w:rPr>
          <w:rFonts w:ascii="宋体"/>
          <w:sz w:val="18"/>
          <w:szCs w:val="18"/>
        </w:rPr>
      </w:pPr>
      <w:r>
        <w:rPr>
          <w:rFonts w:hint="eastAsia" w:ascii="宋体" w:hAnsi="宋体" w:cs="宋体"/>
          <w:sz w:val="18"/>
          <w:szCs w:val="18"/>
        </w:rPr>
        <w:t>注：</w:t>
      </w:r>
    </w:p>
    <w:p>
      <w:pPr>
        <w:snapToGrid w:val="0"/>
        <w:spacing w:line="360" w:lineRule="auto"/>
        <w:ind w:firstLine="358" w:firstLineChars="199"/>
        <w:rPr>
          <w:rFonts w:ascii="宋体"/>
          <w:sz w:val="18"/>
          <w:szCs w:val="18"/>
        </w:rPr>
      </w:pPr>
      <w:r>
        <w:rPr>
          <w:rFonts w:hint="eastAsia" w:ascii="宋体" w:hAnsi="宋体" w:cs="宋体"/>
          <w:sz w:val="18"/>
          <w:szCs w:val="18"/>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rPr>
      </w:pPr>
      <w:r>
        <w:rPr>
          <w:rFonts w:hint="eastAsia" w:ascii="宋体" w:hAnsi="宋体" w:cs="宋体"/>
          <w:sz w:val="18"/>
          <w:szCs w:val="18"/>
        </w:rPr>
        <w:t>②上表所列检验项目是有关法律法规、标准等规定的，重点涉及健康、安全、节能、环保以及消费者、有关组织反映有质量问题的重要项目。</w:t>
      </w:r>
    </w:p>
    <w:p>
      <w:pPr>
        <w:snapToGrid w:val="0"/>
        <w:spacing w:line="360" w:lineRule="auto"/>
        <w:ind w:firstLine="360" w:firstLineChars="200"/>
        <w:rPr>
          <w:rFonts w:ascii="宋体"/>
          <w:sz w:val="18"/>
          <w:szCs w:val="18"/>
        </w:rPr>
      </w:pPr>
      <w:r>
        <w:rPr>
          <w:rFonts w:ascii="宋体" w:hAnsi="宋体" w:cs="宋体"/>
          <w:sz w:val="18"/>
          <w:szCs w:val="18"/>
        </w:rPr>
        <w:fldChar w:fldCharType="begin"/>
      </w:r>
      <w:r>
        <w:rPr>
          <w:rFonts w:ascii="宋体" w:hAnsi="宋体" w:cs="宋体"/>
          <w:sz w:val="18"/>
          <w:szCs w:val="18"/>
        </w:rPr>
        <w:instrText xml:space="preserve">= 3 \* GB3</w:instrText>
      </w:r>
      <w:r>
        <w:rPr>
          <w:rFonts w:ascii="宋体" w:hAnsi="宋体" w:cs="宋体"/>
          <w:sz w:val="18"/>
          <w:szCs w:val="18"/>
        </w:rPr>
        <w:fldChar w:fldCharType="separate"/>
      </w:r>
      <w:r>
        <w:rPr>
          <w:rFonts w:hint="eastAsia" w:ascii="宋体" w:hAnsi="宋体" w:cs="宋体"/>
          <w:sz w:val="18"/>
          <w:szCs w:val="18"/>
        </w:rPr>
        <w:t>③</w:t>
      </w:r>
      <w:r>
        <w:rPr>
          <w:rFonts w:ascii="宋体" w:hAnsi="宋体" w:cs="宋体"/>
          <w:sz w:val="18"/>
          <w:szCs w:val="18"/>
        </w:rPr>
        <w:fldChar w:fldCharType="end"/>
      </w:r>
      <w:r>
        <w:rPr>
          <w:rFonts w:hint="eastAsia" w:ascii="宋体" w:hAnsi="宋体" w:cs="宋体"/>
          <w:sz w:val="18"/>
          <w:szCs w:val="18"/>
        </w:rPr>
        <w:t>无明示产品标准、产品标准过期或不适用时，检测相应的</w:t>
      </w:r>
      <w:r>
        <w:rPr>
          <w:rFonts w:ascii="宋体" w:hAnsi="宋体" w:cs="宋体"/>
          <w:sz w:val="18"/>
          <w:szCs w:val="18"/>
        </w:rPr>
        <w:t>GB19147</w:t>
      </w:r>
      <w:r>
        <w:rPr>
          <w:rFonts w:hint="eastAsia" w:ascii="宋体" w:hAnsi="宋体" w:cs="宋体"/>
          <w:sz w:val="18"/>
          <w:szCs w:val="18"/>
        </w:rPr>
        <w:t>项目。</w:t>
      </w:r>
    </w:p>
    <w:p>
      <w:pPr>
        <w:spacing w:line="360" w:lineRule="auto"/>
        <w:rPr>
          <w:rFonts w:hint="eastAsia" w:hAnsi="宋体"/>
        </w:rPr>
      </w:pPr>
      <w:r>
        <w:rPr>
          <w:rFonts w:hint="eastAsia" w:ascii="黑体" w:hAnsi="宋体" w:eastAsia="黑体" w:cs="黑体"/>
          <w:b/>
          <w:bCs/>
          <w:color w:val="000000"/>
          <w:lang w:val="en-US" w:eastAsia="zh-CN"/>
        </w:rPr>
        <w:t xml:space="preserve">6.2 </w:t>
      </w:r>
      <w:r>
        <w:rPr>
          <w:rFonts w:hint="eastAsia" w:ascii="黑体" w:hAnsi="宋体" w:eastAsia="黑体" w:cs="黑体"/>
          <w:b/>
          <w:bCs/>
          <w:color w:val="000000"/>
        </w:rPr>
        <w:t>检验应注意的问题</w:t>
      </w:r>
    </w:p>
    <w:p>
      <w:pPr>
        <w:pStyle w:val="4"/>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color w:val="000000"/>
          <w:szCs w:val="21"/>
          <w:lang w:val="en-US" w:eastAsia="zh-CN"/>
        </w:rPr>
        <w:t>6</w:t>
      </w:r>
      <w:r>
        <w:rPr>
          <w:rFonts w:hint="eastAsia" w:hAnsi="宋体"/>
          <w:color w:val="000000"/>
          <w:szCs w:val="21"/>
        </w:rPr>
        <w:t xml:space="preserve">.2.1 </w:t>
      </w:r>
      <w:r>
        <w:rPr>
          <w:rFonts w:hint="eastAsia" w:hAnsi="宋体"/>
          <w:szCs w:val="21"/>
        </w:rPr>
        <w:t>根据</w:t>
      </w:r>
      <w:r>
        <w:rPr>
          <w:rFonts w:hint="eastAsia" w:hAnsi="宋体"/>
          <w:szCs w:val="21"/>
          <w:lang w:eastAsia="zh-CN"/>
        </w:rPr>
        <w:t>柴油</w:t>
      </w:r>
      <w:r>
        <w:rPr>
          <w:rFonts w:hint="eastAsia" w:hAnsi="宋体"/>
          <w:szCs w:val="21"/>
        </w:rPr>
        <w:t>的特性，应优先检验</w:t>
      </w:r>
      <w:r>
        <w:rPr>
          <w:rFonts w:hint="eastAsia" w:hAnsi="宋体"/>
          <w:szCs w:val="21"/>
          <w:lang w:eastAsia="zh-CN"/>
        </w:rPr>
        <w:t>闪点</w:t>
      </w:r>
      <w:r>
        <w:rPr>
          <w:rFonts w:hint="eastAsia" w:ascii="宋体" w:hAnsi="宋体" w:cs="宋体"/>
          <w:color w:val="000000"/>
          <w:kern w:val="0"/>
          <w:lang w:eastAsia="zh-CN"/>
        </w:rPr>
        <w:t>（闭口）</w:t>
      </w:r>
      <w:r>
        <w:rPr>
          <w:rFonts w:hint="eastAsia" w:hAnsi="宋体"/>
          <w:szCs w:val="21"/>
          <w:lang w:eastAsia="zh-CN"/>
        </w:rPr>
        <w:t>、馏程</w:t>
      </w:r>
      <w:r>
        <w:rPr>
          <w:rFonts w:hint="eastAsia" w:hAnsi="宋体"/>
          <w:szCs w:val="21"/>
        </w:rPr>
        <w:t>项目。当一个检验项目有多个检测方法时，出现可疑结果或不合格结果（即在有异议）时，应以产品标准中规定方法的测定结果为准。</w:t>
      </w:r>
    </w:p>
    <w:p>
      <w:pPr>
        <w:pStyle w:val="4"/>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szCs w:val="21"/>
          <w:lang w:val="en-US" w:eastAsia="zh-CN"/>
        </w:rPr>
        <w:t xml:space="preserve">6.2.2 </w:t>
      </w:r>
      <w:r>
        <w:rPr>
          <w:rFonts w:hint="eastAsia" w:hAnsi="宋体"/>
          <w:szCs w:val="21"/>
        </w:rPr>
        <w:t>检验过程中遇有样品失效或者其他情况致使检验无法进行时，必须如实记录即时情况，并有充分的证实材料。</w:t>
      </w:r>
    </w:p>
    <w:p>
      <w:pPr>
        <w:pStyle w:val="4"/>
        <w:keepNext w:val="0"/>
        <w:keepLines w:val="0"/>
        <w:pageBreakBefore w:val="0"/>
        <w:kinsoku/>
        <w:wordWrap/>
        <w:overflowPunct/>
        <w:topLinePunct w:val="0"/>
        <w:autoSpaceDE/>
        <w:autoSpaceDN/>
        <w:bidi w:val="0"/>
        <w:adjustRightInd w:val="0"/>
        <w:snapToGrid w:val="0"/>
        <w:spacing w:line="360" w:lineRule="auto"/>
        <w:rPr>
          <w:rFonts w:hint="eastAsia" w:hAnsi="宋体"/>
          <w:szCs w:val="21"/>
        </w:rPr>
      </w:pPr>
      <w:r>
        <w:rPr>
          <w:rFonts w:hint="eastAsia" w:hAnsi="宋体"/>
          <w:szCs w:val="21"/>
          <w:lang w:val="en-US" w:eastAsia="zh-CN"/>
        </w:rPr>
        <w:t xml:space="preserve">6.2.3 </w:t>
      </w:r>
      <w:r>
        <w:rPr>
          <w:rFonts w:hint="eastAsia" w:hAnsi="宋体"/>
          <w:szCs w:val="21"/>
        </w:rPr>
        <w:t>检验人员应在试验过程中注意防毒，保持通风良好，样品储存室应注意防火防爆。</w:t>
      </w:r>
    </w:p>
    <w:p>
      <w:pPr>
        <w:pStyle w:val="4"/>
        <w:adjustRightInd w:val="0"/>
        <w:snapToGrid w:val="0"/>
        <w:spacing w:line="360" w:lineRule="auto"/>
        <w:rPr>
          <w:rFonts w:hAnsi="宋体" w:cs="Times New Roman"/>
        </w:rPr>
      </w:pPr>
      <w:r>
        <w:rPr>
          <w:rFonts w:hint="eastAsia" w:hAnsi="宋体"/>
          <w:lang w:val="en-US" w:eastAsia="zh-CN"/>
        </w:rPr>
        <w:t>6.2.4</w:t>
      </w:r>
      <w:r>
        <w:rPr>
          <w:rFonts w:hint="eastAsia" w:hAnsi="宋体"/>
        </w:rPr>
        <w:t>若被检产品明示的质量要求高于本细则中检验项目依据的标准要求时，应按被检产品明示的质量要求判定。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若被检产品明示的质量要求低于本细则中检验项目依据的强制性标准要求时，应按照强制性标准要求判定。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若被检产品明示的质量要求低于或包含细则中检验项目依据的推荐性标准要求时，应以被检产品明示的质量要求判定。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若被检产品明示的质量要求缺少本细则中检验项目依据的强制性标准要求时，应按照强制性标准要求判定。</w:t>
      </w:r>
    </w:p>
    <w:p>
      <w:pPr>
        <w:pStyle w:val="4"/>
        <w:adjustRightInd w:val="0"/>
        <w:snapToGrid w:val="0"/>
        <w:spacing w:line="360" w:lineRule="auto"/>
        <w:ind w:firstLine="420" w:firstLineChars="200"/>
        <w:rPr>
          <w:rFonts w:hAnsi="宋体" w:cs="Times New Roman"/>
        </w:rPr>
      </w:pPr>
      <w:r>
        <w:rPr>
          <w:rFonts w:hint="eastAsia" w:hAnsi="宋体"/>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rPr>
      </w:pPr>
      <w:r>
        <w:rPr>
          <w:rFonts w:ascii="黑体" w:hAnsi="宋体" w:eastAsia="黑体" w:cs="黑体"/>
          <w:b/>
          <w:bCs/>
          <w:color w:val="000000"/>
        </w:rPr>
        <w:t>7.</w:t>
      </w:r>
      <w:r>
        <w:rPr>
          <w:rFonts w:hint="eastAsia" w:ascii="黑体" w:hAnsi="宋体" w:eastAsia="黑体" w:cs="黑体"/>
          <w:b/>
          <w:bCs/>
          <w:color w:val="000000"/>
        </w:rPr>
        <w:t>判定原则</w:t>
      </w:r>
    </w:p>
    <w:p>
      <w:pPr>
        <w:spacing w:beforeLines="50" w:afterLines="50" w:line="360" w:lineRule="auto"/>
        <w:rPr>
          <w:rFonts w:ascii="宋体"/>
          <w:color w:val="000000"/>
        </w:rPr>
      </w:pPr>
      <w:r>
        <w:rPr>
          <w:rFonts w:ascii="宋体" w:hAnsi="宋体" w:cs="宋体"/>
          <w:color w:val="000000"/>
        </w:rPr>
        <w:t xml:space="preserve">7.1 </w:t>
      </w:r>
      <w:r>
        <w:rPr>
          <w:rFonts w:hint="eastAsia" w:ascii="宋体" w:hAnsi="宋体" w:cs="宋体"/>
          <w:color w:val="000000"/>
        </w:rPr>
        <w:t>判定原则</w:t>
      </w:r>
    </w:p>
    <w:p>
      <w:pPr>
        <w:snapToGrid w:val="0"/>
        <w:spacing w:line="360" w:lineRule="auto"/>
        <w:ind w:firstLine="420" w:firstLineChars="200"/>
        <w:rPr>
          <w:rFonts w:ascii="宋体"/>
          <w:color w:val="000000"/>
        </w:rPr>
      </w:pPr>
      <w:r>
        <w:rPr>
          <w:rFonts w:hint="eastAsia" w:ascii="宋体" w:hAnsi="宋体" w:cs="宋体"/>
          <w:color w:val="000000"/>
        </w:rPr>
        <w:t>经检验，检验项目全部合格，判定为被抽查产品合格；检验项目中任一项或一项以上不合格，判定为被抽查产品不合格。</w:t>
      </w:r>
      <w:bookmarkStart w:id="0" w:name="_GoBack"/>
      <w:bookmarkEnd w:id="0"/>
    </w:p>
    <w:p>
      <w:pPr>
        <w:spacing w:beforeLines="50" w:afterLines="50" w:line="360" w:lineRule="auto"/>
        <w:rPr>
          <w:rFonts w:ascii="宋体"/>
          <w:color w:val="000000"/>
        </w:rPr>
      </w:pPr>
      <w:r>
        <w:rPr>
          <w:rFonts w:ascii="宋体" w:hAnsi="宋体" w:cs="宋体"/>
          <w:color w:val="000000"/>
        </w:rPr>
        <w:t>7.2</w:t>
      </w:r>
      <w:r>
        <w:rPr>
          <w:rFonts w:hint="eastAsia" w:ascii="宋体" w:hAnsi="宋体" w:cs="宋体"/>
          <w:color w:val="000000"/>
        </w:rPr>
        <w:t>检验结论用语</w:t>
      </w:r>
    </w:p>
    <w:p>
      <w:pPr>
        <w:snapToGrid w:val="0"/>
        <w:spacing w:line="360" w:lineRule="auto"/>
        <w:ind w:firstLine="420" w:firstLineChars="200"/>
        <w:rPr>
          <w:rFonts w:ascii="宋体"/>
        </w:rPr>
      </w:pPr>
      <w:r>
        <w:rPr>
          <w:rFonts w:hint="eastAsia" w:ascii="宋体" w:hAnsi="宋体" w:cs="宋体"/>
          <w:color w:val="000000"/>
        </w:rPr>
        <w:t>经抽样检验，所检项目符合</w:t>
      </w:r>
      <w:r>
        <w:rPr>
          <w:rFonts w:ascii="宋体" w:hAnsi="宋体" w:cs="宋体"/>
          <w:color w:val="000000"/>
        </w:rPr>
        <w:t>GB 19147-2016</w:t>
      </w:r>
      <w:r>
        <w:rPr>
          <w:rFonts w:hint="eastAsia" w:ascii="宋体" w:hAnsi="宋体" w:cs="宋体"/>
          <w:color w:val="000000"/>
          <w:lang w:eastAsia="zh-CN"/>
        </w:rPr>
        <w:t>《</w:t>
      </w:r>
      <w:r>
        <w:rPr>
          <w:rFonts w:hint="eastAsia" w:ascii="宋体" w:hAnsi="宋体" w:cs="宋体"/>
        </w:rPr>
        <w:t>车用柴油</w:t>
      </w:r>
      <w:r>
        <w:rPr>
          <w:rFonts w:hint="eastAsia" w:ascii="宋体" w:hAnsi="宋体" w:cs="宋体"/>
          <w:color w:val="000000"/>
          <w:lang w:eastAsia="zh-CN"/>
        </w:rPr>
        <w:t>》</w:t>
      </w:r>
      <w:r>
        <w:rPr>
          <w:rFonts w:hint="eastAsia" w:ascii="宋体" w:hAnsi="宋体" w:cs="宋体"/>
          <w:color w:val="000000"/>
        </w:rPr>
        <w:t>标准要求，依据</w:t>
      </w:r>
      <w:r>
        <w:rPr>
          <w:rFonts w:hint="eastAsia" w:ascii="宋体" w:hAnsi="宋体" w:cs="宋体"/>
          <w:lang w:val="en-US" w:eastAsia="zh-CN"/>
        </w:rPr>
        <w:t>PTSLTJDC-1002-2024</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车用柴油</w:t>
      </w:r>
      <w:r>
        <w:rPr>
          <w:rFonts w:hint="eastAsia" w:ascii="宋体" w:hAnsi="宋体"/>
          <w:color w:val="auto"/>
          <w:szCs w:val="21"/>
        </w:rPr>
        <w:t>》（或方案）</w:t>
      </w:r>
      <w:r>
        <w:rPr>
          <w:rFonts w:hint="eastAsia" w:ascii="宋体" w:hAnsi="宋体" w:cs="宋体"/>
        </w:rPr>
        <w:t>，判定为合格；</w:t>
      </w:r>
    </w:p>
    <w:p>
      <w:pPr>
        <w:adjustRightInd w:val="0"/>
        <w:snapToGrid w:val="0"/>
        <w:spacing w:line="360" w:lineRule="auto"/>
        <w:ind w:firstLine="420" w:firstLineChars="200"/>
        <w:rPr>
          <w:rFonts w:hint="eastAsia" w:ascii="宋体" w:eastAsia="宋体"/>
          <w:lang w:eastAsia="zh-CN"/>
        </w:rPr>
      </w:pPr>
      <w:r>
        <w:rPr>
          <w:rFonts w:hint="eastAsia" w:ascii="宋体" w:hAnsi="宋体" w:cs="宋体"/>
        </w:rPr>
        <w:t>经抽样检验，</w:t>
      </w:r>
      <w:r>
        <w:rPr>
          <w:rFonts w:ascii="宋体" w:hAnsi="宋体"/>
          <w:szCs w:val="21"/>
        </w:rPr>
        <w:t>xxx</w:t>
      </w:r>
      <w:r>
        <w:rPr>
          <w:rFonts w:hint="eastAsia" w:ascii="宋体" w:hAnsi="宋体"/>
          <w:szCs w:val="21"/>
        </w:rPr>
        <w:t>、</w:t>
      </w:r>
      <w:r>
        <w:rPr>
          <w:rFonts w:ascii="宋体" w:hAnsi="宋体"/>
          <w:szCs w:val="21"/>
        </w:rPr>
        <w:t>xxxx</w:t>
      </w:r>
      <w:r>
        <w:rPr>
          <w:rFonts w:hint="eastAsia" w:ascii="宋体" w:hAnsi="宋体"/>
          <w:szCs w:val="21"/>
        </w:rPr>
        <w:t>、</w:t>
      </w:r>
      <w:r>
        <w:rPr>
          <w:rFonts w:ascii="宋体" w:hAnsi="宋体" w:cs="宋体"/>
        </w:rPr>
        <w:t>xxx</w:t>
      </w:r>
      <w:r>
        <w:rPr>
          <w:rFonts w:hint="eastAsia" w:ascii="宋体" w:hAnsi="宋体" w:cs="宋体"/>
        </w:rPr>
        <w:t>项目不符合</w:t>
      </w:r>
      <w:r>
        <w:rPr>
          <w:rFonts w:ascii="宋体" w:hAnsi="宋体" w:cs="宋体"/>
          <w:color w:val="000000"/>
        </w:rPr>
        <w:t>GB 19147-2016</w:t>
      </w:r>
      <w:r>
        <w:rPr>
          <w:rFonts w:hint="eastAsia" w:ascii="宋体" w:hAnsi="宋体" w:cs="宋体"/>
          <w:color w:val="000000"/>
          <w:lang w:eastAsia="zh-CN"/>
        </w:rPr>
        <w:t>《</w:t>
      </w:r>
      <w:r>
        <w:rPr>
          <w:rFonts w:hint="eastAsia" w:ascii="宋体" w:hAnsi="宋体" w:cs="宋体"/>
        </w:rPr>
        <w:t>车用柴油</w:t>
      </w:r>
      <w:r>
        <w:rPr>
          <w:rFonts w:hint="eastAsia" w:ascii="宋体" w:hAnsi="宋体" w:cs="宋体"/>
          <w:color w:val="000000"/>
          <w:lang w:eastAsia="zh-CN"/>
        </w:rPr>
        <w:t>》</w:t>
      </w:r>
      <w:r>
        <w:rPr>
          <w:rFonts w:hint="eastAsia" w:ascii="宋体" w:hAnsi="宋体" w:cs="宋体"/>
        </w:rPr>
        <w:t>标准要求，依据</w:t>
      </w:r>
      <w:r>
        <w:rPr>
          <w:rFonts w:hint="eastAsia" w:ascii="宋体" w:hAnsi="宋体" w:cs="宋体"/>
          <w:lang w:val="en-US" w:eastAsia="zh-CN"/>
        </w:rPr>
        <w:t>PTSLTJDC-1002-2024</w:t>
      </w:r>
      <w:r>
        <w:rPr>
          <w:rFonts w:hint="eastAsia" w:ascii="宋体" w:hAnsi="宋体"/>
          <w:color w:val="auto"/>
          <w:szCs w:val="21"/>
          <w:lang w:val="en-US" w:eastAsia="zh-CN"/>
        </w:rPr>
        <w:t>《</w:t>
      </w:r>
      <w:r>
        <w:rPr>
          <w:rFonts w:hint="eastAsia" w:ascii="宋体" w:hAnsi="宋体" w:cs="宋体"/>
          <w:color w:val="auto"/>
        </w:rPr>
        <w:t>莆田市流通领域产品质量监督抽查实施细则</w:t>
      </w:r>
      <w:r>
        <w:rPr>
          <w:rFonts w:hint="eastAsia" w:ascii="宋体" w:hAnsi="宋体" w:cs="宋体"/>
          <w:color w:val="auto"/>
          <w:lang w:val="en-US" w:eastAsia="zh-CN"/>
        </w:rPr>
        <w:t xml:space="preserve">  车用柴油</w:t>
      </w:r>
      <w:r>
        <w:rPr>
          <w:rFonts w:hint="eastAsia" w:ascii="宋体" w:hAnsi="宋体"/>
          <w:color w:val="auto"/>
          <w:szCs w:val="21"/>
        </w:rPr>
        <w:t>》（或方案）</w:t>
      </w:r>
      <w:r>
        <w:rPr>
          <w:rFonts w:hint="eastAsia" w:ascii="宋体" w:hAnsi="宋体" w:cs="宋体"/>
        </w:rPr>
        <w:t>，判定为不合格</w:t>
      </w:r>
      <w:r>
        <w:rPr>
          <w:rFonts w:hint="eastAsia" w:ascii="宋体" w:hAnsi="宋体" w:cs="宋体"/>
          <w:lang w:eastAsia="zh-CN"/>
        </w:rPr>
        <w:t>。</w:t>
      </w:r>
    </w:p>
    <w:p>
      <w:pPr>
        <w:spacing w:beforeLines="50" w:afterLines="50" w:line="360" w:lineRule="auto"/>
        <w:rPr>
          <w:rFonts w:ascii="黑体" w:hAnsi="宋体" w:eastAsia="黑体"/>
          <w:b/>
          <w:bCs/>
          <w:color w:val="000000"/>
        </w:rPr>
      </w:pPr>
      <w:r>
        <w:rPr>
          <w:rFonts w:ascii="黑体" w:hAnsi="宋体" w:eastAsia="黑体" w:cs="黑体"/>
          <w:b/>
          <w:bCs/>
          <w:color w:val="000000"/>
        </w:rPr>
        <w:t>8.</w:t>
      </w:r>
      <w:r>
        <w:rPr>
          <w:rFonts w:hint="eastAsia" w:ascii="黑体" w:hAnsi="宋体" w:eastAsia="黑体" w:cs="黑体"/>
          <w:b/>
          <w:bCs/>
          <w:color w:val="000000"/>
        </w:rPr>
        <w:t>异议处理原则</w:t>
      </w:r>
    </w:p>
    <w:p>
      <w:pPr>
        <w:snapToGrid w:val="0"/>
        <w:spacing w:line="360" w:lineRule="auto"/>
        <w:ind w:firstLine="420" w:firstLineChars="200"/>
        <w:rPr>
          <w:rFonts w:ascii="宋体"/>
          <w:color w:val="000000"/>
        </w:rPr>
      </w:pPr>
      <w:r>
        <w:rPr>
          <w:rFonts w:hint="eastAsia" w:ascii="宋体" w:hAnsi="宋体" w:cs="宋体"/>
          <w:color w:val="000000"/>
        </w:rPr>
        <w:t>对判定不合格产品进行异议处理时，按以下方式进行：</w:t>
      </w:r>
    </w:p>
    <w:p>
      <w:pPr>
        <w:adjustRightInd w:val="0"/>
        <w:snapToGrid w:val="0"/>
        <w:spacing w:line="360" w:lineRule="auto"/>
        <w:rPr>
          <w:rFonts w:ascii="宋体"/>
          <w:color w:val="000000"/>
        </w:rPr>
      </w:pPr>
      <w:r>
        <w:rPr>
          <w:rFonts w:ascii="宋体" w:hAnsi="宋体" w:cs="宋体"/>
          <w:color w:val="000000"/>
        </w:rPr>
        <w:t>8.1</w:t>
      </w:r>
      <w:r>
        <w:rPr>
          <w:rFonts w:hint="eastAsia" w:ascii="宋体" w:hAnsi="宋体" w:cs="宋体"/>
          <w:color w:val="000000"/>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rPr>
      </w:pPr>
      <w:r>
        <w:rPr>
          <w:rFonts w:ascii="宋体" w:hAnsi="宋体" w:cs="宋体"/>
          <w:color w:val="000000"/>
        </w:rPr>
        <w:t>8.2</w:t>
      </w:r>
      <w:r>
        <w:rPr>
          <w:rFonts w:hint="eastAsia" w:ascii="宋体" w:hAnsi="宋体" w:cs="宋体"/>
          <w:color w:val="000000"/>
          <w:kern w:val="0"/>
        </w:rPr>
        <w:t>对需要复检并具备检验条件的，处理</w:t>
      </w:r>
      <w:r>
        <w:rPr>
          <w:rFonts w:hint="eastAsia" w:ascii="宋体" w:hAnsi="宋体" w:cs="宋体"/>
          <w:color w:val="000000"/>
        </w:rPr>
        <w:t>加油站（点）</w:t>
      </w:r>
      <w:r>
        <w:rPr>
          <w:rFonts w:hint="eastAsia" w:ascii="宋体" w:hAnsi="宋体" w:cs="宋体"/>
          <w:color w:val="000000"/>
          <w:kern w:val="0"/>
        </w:rPr>
        <w:t>异议的市场监督部门或者指定检验机构应当按原监督抽查方案对留存的样品或抽取的备用样品组织复检，并出具检验报告。复检结论为最终结论。</w:t>
      </w:r>
    </w:p>
    <w:p>
      <w:pPr>
        <w:pStyle w:val="4"/>
        <w:adjustRightInd w:val="0"/>
        <w:snapToGrid w:val="0"/>
        <w:spacing w:line="360" w:lineRule="auto"/>
        <w:rPr>
          <w:rFonts w:hAnsi="宋体" w:cs="Times New Roman"/>
          <w:color w:val="000000"/>
        </w:rPr>
      </w:pPr>
      <w:r>
        <w:rPr>
          <w:rFonts w:hAnsi="宋体"/>
          <w:color w:val="000000"/>
        </w:rPr>
        <w:t>8.3</w:t>
      </w:r>
      <w:r>
        <w:rPr>
          <w:rFonts w:hint="eastAsia" w:hAnsi="宋体"/>
          <w:color w:val="000000"/>
        </w:rPr>
        <w:t>　不予复检的情况</w:t>
      </w:r>
    </w:p>
    <w:p>
      <w:pPr>
        <w:pStyle w:val="4"/>
        <w:adjustRightInd w:val="0"/>
        <w:snapToGrid w:val="0"/>
        <w:spacing w:line="360" w:lineRule="auto"/>
        <w:ind w:firstLine="420"/>
        <w:rPr>
          <w:rFonts w:hAnsi="宋体" w:cs="Times New Roman"/>
          <w:color w:val="000000"/>
        </w:rPr>
      </w:pPr>
      <w:r>
        <w:rPr>
          <w:rFonts w:hint="eastAsia" w:hAnsi="宋体"/>
          <w:color w:val="000000"/>
        </w:rPr>
        <w:t>（</w:t>
      </w:r>
      <w:r>
        <w:rPr>
          <w:rFonts w:hAnsi="宋体"/>
          <w:color w:val="000000"/>
        </w:rPr>
        <w:t>1</w:t>
      </w:r>
      <w:r>
        <w:rPr>
          <w:rFonts w:hint="eastAsia" w:hAnsi="宋体"/>
          <w:color w:val="000000"/>
        </w:rPr>
        <w:t>）提出复检时，产品在正常贮存条件下已失效；</w:t>
      </w:r>
    </w:p>
    <w:p>
      <w:pPr>
        <w:pStyle w:val="4"/>
        <w:adjustRightInd w:val="0"/>
        <w:snapToGrid w:val="0"/>
        <w:spacing w:line="360" w:lineRule="auto"/>
        <w:ind w:firstLine="420"/>
        <w:rPr>
          <w:rFonts w:hAnsi="宋体" w:cs="Times New Roman"/>
          <w:color w:val="000000"/>
        </w:rPr>
      </w:pPr>
      <w:r>
        <w:rPr>
          <w:rFonts w:hint="eastAsia" w:hAnsi="宋体"/>
          <w:color w:val="000000"/>
        </w:rPr>
        <w:t>（</w:t>
      </w:r>
      <w:r>
        <w:rPr>
          <w:rFonts w:hAnsi="宋体"/>
          <w:color w:val="000000"/>
        </w:rPr>
        <w:t>2</w:t>
      </w:r>
      <w:r>
        <w:rPr>
          <w:rFonts w:hint="eastAsia" w:hAnsi="宋体"/>
          <w:color w:val="000000"/>
        </w:rPr>
        <w:t>）法律、法规规定不得复检的其他情况。</w:t>
      </w:r>
    </w:p>
    <w:p>
      <w:pPr>
        <w:pStyle w:val="4"/>
        <w:adjustRightInd w:val="0"/>
        <w:snapToGrid w:val="0"/>
        <w:spacing w:line="360" w:lineRule="auto"/>
        <w:ind w:firstLine="420"/>
        <w:rPr>
          <w:rFonts w:hAnsi="宋体" w:cs="Times New Roman"/>
          <w:color w:val="000000"/>
        </w:rPr>
      </w:pPr>
    </w:p>
    <w:p>
      <w:pPr>
        <w:spacing w:line="360" w:lineRule="auto"/>
      </w:pP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4MTFlMTc3YzE0YTcyODFiMjgyYWQ0MDNkMWQ2ODMifQ=="/>
  </w:docVars>
  <w:rsids>
    <w:rsidRoot w:val="5B8F46DA"/>
    <w:rsid w:val="000378C0"/>
    <w:rsid w:val="00045C6E"/>
    <w:rsid w:val="00085841"/>
    <w:rsid w:val="00AA39DA"/>
    <w:rsid w:val="00D53F45"/>
    <w:rsid w:val="011B2562"/>
    <w:rsid w:val="02262E66"/>
    <w:rsid w:val="037336C6"/>
    <w:rsid w:val="04A618D9"/>
    <w:rsid w:val="06150F7A"/>
    <w:rsid w:val="087E44F2"/>
    <w:rsid w:val="08D25DBD"/>
    <w:rsid w:val="0A5B65C1"/>
    <w:rsid w:val="0C2A7A06"/>
    <w:rsid w:val="0D105CE8"/>
    <w:rsid w:val="0DC96709"/>
    <w:rsid w:val="0E0E5FEA"/>
    <w:rsid w:val="11E210AA"/>
    <w:rsid w:val="124D6200"/>
    <w:rsid w:val="12A35EC0"/>
    <w:rsid w:val="15B06531"/>
    <w:rsid w:val="19427A07"/>
    <w:rsid w:val="1C270586"/>
    <w:rsid w:val="1C2C3ECC"/>
    <w:rsid w:val="1C825974"/>
    <w:rsid w:val="1E0462DC"/>
    <w:rsid w:val="1F016ADB"/>
    <w:rsid w:val="21061C4B"/>
    <w:rsid w:val="21712A4D"/>
    <w:rsid w:val="219D5D85"/>
    <w:rsid w:val="21C87834"/>
    <w:rsid w:val="22941C51"/>
    <w:rsid w:val="236F7F0C"/>
    <w:rsid w:val="25246B79"/>
    <w:rsid w:val="25BF3FC5"/>
    <w:rsid w:val="26F06F1E"/>
    <w:rsid w:val="27A26BF8"/>
    <w:rsid w:val="283E789B"/>
    <w:rsid w:val="29562675"/>
    <w:rsid w:val="2A8E5A5A"/>
    <w:rsid w:val="2D323E54"/>
    <w:rsid w:val="2F2A106C"/>
    <w:rsid w:val="2F8436E5"/>
    <w:rsid w:val="2FFF62F1"/>
    <w:rsid w:val="304F7676"/>
    <w:rsid w:val="31505590"/>
    <w:rsid w:val="330352B0"/>
    <w:rsid w:val="337E4B1B"/>
    <w:rsid w:val="34E3663E"/>
    <w:rsid w:val="35E25314"/>
    <w:rsid w:val="38A903F8"/>
    <w:rsid w:val="393B4C80"/>
    <w:rsid w:val="398E317C"/>
    <w:rsid w:val="39F11951"/>
    <w:rsid w:val="3C1E3679"/>
    <w:rsid w:val="3CA82E9F"/>
    <w:rsid w:val="42003DC9"/>
    <w:rsid w:val="42417D82"/>
    <w:rsid w:val="450C3D3D"/>
    <w:rsid w:val="4BDD2213"/>
    <w:rsid w:val="4E6E7812"/>
    <w:rsid w:val="50CC7D62"/>
    <w:rsid w:val="518868C0"/>
    <w:rsid w:val="52C36D90"/>
    <w:rsid w:val="534D7133"/>
    <w:rsid w:val="55101762"/>
    <w:rsid w:val="56025C74"/>
    <w:rsid w:val="5755355B"/>
    <w:rsid w:val="58053CAA"/>
    <w:rsid w:val="58A56CAA"/>
    <w:rsid w:val="58C86D47"/>
    <w:rsid w:val="5A0237B4"/>
    <w:rsid w:val="5AE036C8"/>
    <w:rsid w:val="5B8F46DA"/>
    <w:rsid w:val="5E316765"/>
    <w:rsid w:val="5F5808AC"/>
    <w:rsid w:val="5FBF1EFC"/>
    <w:rsid w:val="60A40432"/>
    <w:rsid w:val="61822743"/>
    <w:rsid w:val="623D54EE"/>
    <w:rsid w:val="62D7764E"/>
    <w:rsid w:val="630C2878"/>
    <w:rsid w:val="65892573"/>
    <w:rsid w:val="66133F1C"/>
    <w:rsid w:val="6C533DE2"/>
    <w:rsid w:val="6D4A4F28"/>
    <w:rsid w:val="6FE14E1C"/>
    <w:rsid w:val="725C73B8"/>
    <w:rsid w:val="75DC4B14"/>
    <w:rsid w:val="76E17D83"/>
    <w:rsid w:val="77E02304"/>
    <w:rsid w:val="79757F54"/>
    <w:rsid w:val="79966B04"/>
    <w:rsid w:val="7A1B015F"/>
    <w:rsid w:val="7A5072B1"/>
    <w:rsid w:val="7BCE68D8"/>
    <w:rsid w:val="7C580FE5"/>
    <w:rsid w:val="7E754FB4"/>
    <w:rsid w:val="7F345B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paragraph" w:styleId="3">
    <w:name w:val="Body Text"/>
    <w:basedOn w:val="1"/>
    <w:next w:val="1"/>
    <w:link w:val="8"/>
    <w:qFormat/>
    <w:uiPriority w:val="99"/>
  </w:style>
  <w:style w:type="paragraph" w:styleId="4">
    <w:name w:val="Plain Text"/>
    <w:basedOn w:val="1"/>
    <w:link w:val="9"/>
    <w:qFormat/>
    <w:uiPriority w:val="99"/>
    <w:rPr>
      <w:rFonts w:ascii="宋体" w:hAnsi="Courier New" w:cs="宋体"/>
    </w:rPr>
  </w:style>
  <w:style w:type="table" w:styleId="6">
    <w:name w:val="Table Grid"/>
    <w:basedOn w:val="5"/>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ody Text Char"/>
    <w:basedOn w:val="7"/>
    <w:link w:val="3"/>
    <w:semiHidden/>
    <w:qFormat/>
    <w:uiPriority w:val="99"/>
    <w:rPr>
      <w:rFonts w:ascii="Times New Roman" w:hAnsi="Times New Roman"/>
      <w:szCs w:val="21"/>
    </w:rPr>
  </w:style>
  <w:style w:type="character" w:customStyle="1" w:styleId="9">
    <w:name w:val="Plain Text Char"/>
    <w:basedOn w:val="7"/>
    <w:link w:val="4"/>
    <w:semiHidden/>
    <w:qFormat/>
    <w:uiPriority w:val="99"/>
    <w:rPr>
      <w:rFonts w:ascii="宋体" w:hAnsi="Courier New" w:cs="Courier New"/>
      <w:szCs w:val="21"/>
    </w:rPr>
  </w:style>
  <w:style w:type="paragraph" w:customStyle="1" w:styleId="10">
    <w:name w:val="正文格式"/>
    <w:basedOn w:val="3"/>
    <w:qFormat/>
    <w:uiPriority w:val="99"/>
    <w:pPr>
      <w:widowControl/>
      <w:adjustRightInd w:val="0"/>
      <w:snapToGrid w:val="0"/>
      <w:spacing w:line="400" w:lineRule="atLeast"/>
      <w:ind w:firstLine="482"/>
      <w:textAlignment w:val="baseline"/>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2118</Words>
  <Characters>2466</Characters>
  <Lines>0</Lines>
  <Paragraphs>0</Paragraphs>
  <TotalTime>7</TotalTime>
  <ScaleCrop>false</ScaleCrop>
  <LinksUpToDate>false</LinksUpToDate>
  <CharactersWithSpaces>2538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2020-07-25T01:02:00Z</dcterms:created>
  <dc:creator>狐狸悄咪咪</dc:creator>
  <cp:lastModifiedBy>魏金伟</cp:lastModifiedBy>
  <dcterms:modified xsi:type="dcterms:W3CDTF">2024-06-17T09:49:17Z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F9E832702F0248ECBF4765C8B85ABFB4</vt:lpwstr>
  </property>
</Properties>
</file>