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附件1：</w:t>
      </w:r>
    </w:p>
    <w:p>
      <w:pPr>
        <w:jc w:val="center"/>
        <w:rPr>
          <w:rFonts w:hint="eastAsia" w:ascii="宋体" w:hAnsi="宋体" w:eastAsia="宋体" w:cs="Arial"/>
          <w:b/>
          <w:bCs/>
          <w:sz w:val="32"/>
          <w:szCs w:val="32"/>
          <w:lang w:val="en-US" w:eastAsia="zh-CN"/>
        </w:rPr>
      </w:pPr>
    </w:p>
    <w:p>
      <w:pPr>
        <w:jc w:val="center"/>
        <w:rPr>
          <w:rFonts w:hint="eastAsia" w:ascii="宋体" w:hAnsi="宋体" w:eastAsia="宋体" w:cs="Arial"/>
          <w:b/>
          <w:bCs/>
          <w:sz w:val="32"/>
          <w:szCs w:val="32"/>
          <w:lang w:val="en-US" w:eastAsia="zh-CN"/>
        </w:rPr>
      </w:pPr>
    </w:p>
    <w:p>
      <w:pPr>
        <w:jc w:val="center"/>
        <w:rPr>
          <w:rFonts w:hint="eastAsia" w:ascii="宋体" w:hAnsi="宋体" w:eastAsia="宋体" w:cs="Arial"/>
          <w:b/>
          <w:bCs/>
          <w:sz w:val="52"/>
          <w:szCs w:val="52"/>
          <w:lang w:val="en-US" w:eastAsia="zh-CN"/>
        </w:rPr>
      </w:pPr>
      <w:r>
        <w:rPr>
          <w:rFonts w:hint="eastAsia" w:ascii="方正小标宋简体" w:hAnsi="方正小标宋简体" w:eastAsia="方正小标宋简体" w:cs="方正小标宋简体"/>
          <w:b/>
          <w:bCs/>
          <w:sz w:val="52"/>
          <w:szCs w:val="52"/>
          <w:lang w:val="en-US" w:eastAsia="zh-CN"/>
        </w:rPr>
        <w:t>部 门 评 价 报 告</w:t>
      </w:r>
    </w:p>
    <w:p>
      <w:pPr>
        <w:jc w:val="center"/>
        <w:rPr>
          <w:rFonts w:hint="eastAsia" w:ascii="宋体" w:hAnsi="宋体" w:eastAsia="宋体" w:cs="Arial"/>
          <w:b/>
          <w:bCs/>
          <w:sz w:val="84"/>
          <w:szCs w:val="84"/>
          <w:lang w:val="en-US" w:eastAsia="zh-CN"/>
        </w:rPr>
      </w:pPr>
    </w:p>
    <w:p>
      <w:pPr>
        <w:jc w:val="center"/>
        <w:rPr>
          <w:rFonts w:hint="eastAsia" w:ascii="宋体" w:hAnsi="宋体" w:eastAsia="宋体" w:cs="Arial"/>
          <w:b/>
          <w:bCs/>
          <w:sz w:val="84"/>
          <w:szCs w:val="84"/>
          <w:lang w:val="en-US" w:eastAsia="zh-CN"/>
        </w:rPr>
      </w:pPr>
    </w:p>
    <w:p>
      <w:pPr>
        <w:jc w:val="left"/>
        <w:rPr>
          <w:rFonts w:hint="eastAsia" w:ascii="宋体" w:hAnsi="宋体" w:eastAsia="宋体" w:cs="Arial"/>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410" w:beforeLines="100" w:after="410" w:afterLines="100" w:line="480" w:lineRule="auto"/>
        <w:jc w:val="left"/>
        <w:textAlignment w:val="auto"/>
        <w:rPr>
          <w:rFonts w:hint="eastAsia" w:ascii="宋体" w:hAnsi="宋体" w:eastAsia="宋体" w:cs="Arial"/>
          <w:b/>
          <w:bCs/>
          <w:sz w:val="32"/>
          <w:szCs w:val="32"/>
          <w:u w:val="single"/>
          <w:lang w:val="en-US" w:eastAsia="zh-CN"/>
        </w:rPr>
      </w:pPr>
      <w:r>
        <w:rPr>
          <w:rFonts w:hint="eastAsia" w:ascii="宋体" w:hAnsi="宋体" w:eastAsia="宋体" w:cs="Arial"/>
          <w:b/>
          <w:bCs/>
          <w:sz w:val="32"/>
          <w:szCs w:val="32"/>
          <w:lang w:val="en-US" w:eastAsia="zh-CN"/>
        </w:rPr>
        <w:t xml:space="preserve">  项目名称：</w:t>
      </w:r>
      <w:r>
        <w:rPr>
          <w:rFonts w:hint="eastAsia" w:ascii="宋体" w:hAnsi="宋体" w:eastAsia="宋体" w:cs="Arial"/>
          <w:b/>
          <w:bCs/>
          <w:sz w:val="32"/>
          <w:szCs w:val="32"/>
          <w:u w:val="single"/>
          <w:lang w:val="en-US" w:eastAsia="zh-CN"/>
        </w:rPr>
        <w:t xml:space="preserve"> 专利申请资助经费              </w:t>
      </w:r>
    </w:p>
    <w:p>
      <w:pPr>
        <w:keepNext w:val="0"/>
        <w:keepLines w:val="0"/>
        <w:pageBreakBefore w:val="0"/>
        <w:widowControl w:val="0"/>
        <w:kinsoku/>
        <w:wordWrap/>
        <w:overflowPunct/>
        <w:topLinePunct w:val="0"/>
        <w:autoSpaceDE/>
        <w:autoSpaceDN/>
        <w:bidi w:val="0"/>
        <w:adjustRightInd/>
        <w:snapToGrid/>
        <w:spacing w:before="410" w:beforeLines="100" w:after="410" w:afterLines="100" w:line="480" w:lineRule="auto"/>
        <w:ind w:firstLine="321" w:firstLineChars="100"/>
        <w:jc w:val="left"/>
        <w:textAlignment w:val="auto"/>
        <w:rPr>
          <w:rFonts w:hint="eastAsia" w:ascii="宋体" w:hAnsi="宋体" w:eastAsia="宋体" w:cs="Arial"/>
          <w:b/>
          <w:bCs/>
          <w:sz w:val="32"/>
          <w:szCs w:val="32"/>
          <w:u w:val="single"/>
          <w:lang w:val="en-US" w:eastAsia="zh-CN"/>
        </w:rPr>
      </w:pPr>
      <w:r>
        <w:rPr>
          <w:rFonts w:hint="eastAsia" w:ascii="宋体" w:hAnsi="宋体" w:eastAsia="宋体" w:cs="Arial"/>
          <w:b/>
          <w:bCs/>
          <w:sz w:val="32"/>
          <w:szCs w:val="32"/>
          <w:u w:val="none"/>
          <w:lang w:val="en-US" w:eastAsia="zh-CN"/>
        </w:rPr>
        <w:t>项目单位：</w:t>
      </w:r>
      <w:r>
        <w:rPr>
          <w:rFonts w:hint="eastAsia" w:ascii="宋体" w:hAnsi="宋体" w:eastAsia="宋体" w:cs="Arial"/>
          <w:b/>
          <w:bCs/>
          <w:sz w:val="32"/>
          <w:szCs w:val="32"/>
          <w:u w:val="single"/>
          <w:lang w:val="en-US" w:eastAsia="zh-CN"/>
        </w:rPr>
        <w:t xml:space="preserve"> 莆田市市场监督管理局                                        </w:t>
      </w:r>
    </w:p>
    <w:p>
      <w:pPr>
        <w:keepNext w:val="0"/>
        <w:keepLines w:val="0"/>
        <w:pageBreakBefore w:val="0"/>
        <w:widowControl w:val="0"/>
        <w:kinsoku/>
        <w:wordWrap/>
        <w:overflowPunct/>
        <w:topLinePunct w:val="0"/>
        <w:autoSpaceDE/>
        <w:autoSpaceDN/>
        <w:bidi w:val="0"/>
        <w:adjustRightInd/>
        <w:snapToGrid/>
        <w:spacing w:before="410" w:beforeLines="100" w:after="410" w:afterLines="100" w:line="480" w:lineRule="auto"/>
        <w:ind w:firstLine="321" w:firstLineChars="100"/>
        <w:jc w:val="left"/>
        <w:textAlignment w:val="auto"/>
        <w:rPr>
          <w:rFonts w:hint="default" w:ascii="宋体" w:hAnsi="宋体" w:eastAsia="宋体" w:cs="Arial"/>
          <w:b/>
          <w:bCs/>
          <w:sz w:val="32"/>
          <w:szCs w:val="32"/>
          <w:u w:val="single"/>
          <w:lang w:val="en-US" w:eastAsia="zh-CN"/>
        </w:rPr>
      </w:pPr>
      <w:r>
        <w:rPr>
          <w:rFonts w:hint="eastAsia" w:ascii="宋体" w:hAnsi="宋体" w:eastAsia="宋体" w:cs="Arial"/>
          <w:b/>
          <w:bCs/>
          <w:sz w:val="32"/>
          <w:szCs w:val="32"/>
          <w:u w:val="none"/>
          <w:lang w:val="en-US" w:eastAsia="zh-CN"/>
        </w:rPr>
        <w:t>评价机构（小组）：</w:t>
      </w:r>
      <w:r>
        <w:rPr>
          <w:rFonts w:hint="eastAsia" w:ascii="宋体" w:hAnsi="宋体" w:eastAsia="宋体" w:cs="Arial"/>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Arial"/>
          <w:b/>
          <w:bCs/>
          <w:sz w:val="32"/>
          <w:szCs w:val="32"/>
          <w:lang w:val="en-US" w:eastAsia="zh-CN"/>
        </w:rPr>
      </w:pPr>
    </w:p>
    <w:p>
      <w:pPr>
        <w:jc w:val="center"/>
        <w:rPr>
          <w:rFonts w:hint="eastAsia" w:ascii="宋体" w:hAnsi="宋体" w:eastAsia="宋体" w:cs="Arial"/>
          <w:b/>
          <w:bCs/>
          <w:sz w:val="32"/>
          <w:szCs w:val="32"/>
          <w:lang w:val="en-US" w:eastAsia="zh-CN"/>
        </w:rPr>
      </w:pPr>
    </w:p>
    <w:p>
      <w:pPr>
        <w:jc w:val="center"/>
        <w:rPr>
          <w:rFonts w:hint="eastAsia" w:ascii="宋体" w:hAnsi="宋体" w:eastAsia="宋体" w:cs="Arial"/>
          <w:b/>
          <w:bCs/>
          <w:sz w:val="32"/>
          <w:szCs w:val="32"/>
          <w:lang w:val="en-US" w:eastAsia="zh-CN"/>
        </w:rPr>
      </w:pPr>
    </w:p>
    <w:p>
      <w:pPr>
        <w:jc w:val="center"/>
        <w:rPr>
          <w:rFonts w:ascii="Arial" w:hAnsi="Arial" w:eastAsia="宋体" w:cs="Arial"/>
          <w:b/>
          <w:bCs/>
          <w:sz w:val="32"/>
          <w:szCs w:val="32"/>
        </w:rPr>
      </w:pPr>
      <w:r>
        <w:rPr>
          <w:rFonts w:hint="eastAsia" w:ascii="宋体" w:hAnsi="宋体" w:eastAsia="宋体" w:cs="Arial"/>
          <w:b/>
          <w:bCs/>
          <w:sz w:val="32"/>
          <w:szCs w:val="32"/>
          <w:lang w:val="en-US" w:eastAsia="zh-CN"/>
        </w:rPr>
        <w:t>专利申请资助经费</w:t>
      </w:r>
      <w:r>
        <w:rPr>
          <w:rFonts w:hint="eastAsia" w:ascii="宋体" w:hAnsi="宋体" w:eastAsia="宋体" w:cs="Arial"/>
          <w:b/>
          <w:bCs/>
          <w:sz w:val="32"/>
          <w:szCs w:val="32"/>
        </w:rPr>
        <w:t>项目支出</w:t>
      </w:r>
      <w:r>
        <w:rPr>
          <w:rFonts w:hint="eastAsia" w:ascii="宋体" w:hAnsi="宋体" w:eastAsia="宋体" w:cs="Arial"/>
          <w:b/>
          <w:bCs/>
          <w:sz w:val="32"/>
          <w:szCs w:val="32"/>
          <w:lang w:eastAsia="zh-CN"/>
        </w:rPr>
        <w:t>部门</w:t>
      </w:r>
      <w:r>
        <w:rPr>
          <w:rFonts w:hint="eastAsia" w:ascii="宋体" w:hAnsi="宋体" w:eastAsia="宋体" w:cs="Arial"/>
          <w:b/>
          <w:bCs/>
          <w:sz w:val="32"/>
          <w:szCs w:val="32"/>
        </w:rPr>
        <w:t>评价报告</w:t>
      </w:r>
    </w:p>
    <w:p>
      <w:pPr>
        <w:jc w:val="center"/>
        <w:rPr>
          <w:rFonts w:ascii="仿宋_GB2312"/>
          <w:sz w:val="28"/>
          <w:szCs w:val="28"/>
        </w:rPr>
      </w:pPr>
    </w:p>
    <w:p>
      <w:pPr>
        <w:spacing w:line="600" w:lineRule="exact"/>
        <w:ind w:firstLine="560" w:firstLineChars="200"/>
        <w:rPr>
          <w:rFonts w:ascii="黑体" w:hAnsi="黑体" w:eastAsia="黑体"/>
          <w:sz w:val="28"/>
          <w:szCs w:val="28"/>
        </w:rPr>
      </w:pPr>
      <w:r>
        <w:rPr>
          <w:rFonts w:hint="eastAsia" w:ascii="黑体" w:hAnsi="黑体" w:eastAsia="黑体"/>
          <w:sz w:val="28"/>
          <w:szCs w:val="28"/>
        </w:rPr>
        <w:t>一、基本情况</w:t>
      </w:r>
    </w:p>
    <w:p>
      <w:pPr>
        <w:spacing w:line="600" w:lineRule="exact"/>
        <w:ind w:firstLine="560" w:firstLineChars="200"/>
        <w:outlineLvl w:val="0"/>
        <w:rPr>
          <w:rFonts w:hint="eastAsia" w:ascii="仿宋_GB2312"/>
          <w:sz w:val="28"/>
          <w:szCs w:val="28"/>
        </w:rPr>
      </w:pPr>
      <w:r>
        <w:rPr>
          <w:rFonts w:hint="eastAsia" w:ascii="仿宋_GB2312"/>
          <w:sz w:val="28"/>
          <w:szCs w:val="28"/>
        </w:rPr>
        <w:t>（一）项目概况</w:t>
      </w:r>
    </w:p>
    <w:p>
      <w:pPr>
        <w:spacing w:line="600" w:lineRule="exact"/>
        <w:ind w:firstLine="560" w:firstLineChars="200"/>
        <w:outlineLvl w:val="0"/>
        <w:rPr>
          <w:rFonts w:hint="eastAsia" w:ascii="仿宋_GB2312"/>
          <w:sz w:val="28"/>
          <w:szCs w:val="28"/>
          <w:lang w:val="en-US" w:eastAsia="zh-CN"/>
        </w:rPr>
      </w:pPr>
      <w:r>
        <w:rPr>
          <w:rFonts w:hint="eastAsia" w:ascii="仿宋_GB2312"/>
          <w:sz w:val="28"/>
          <w:szCs w:val="28"/>
          <w:lang w:val="en-US" w:eastAsia="zh-CN"/>
        </w:rPr>
        <w:t>1.项目背景</w:t>
      </w:r>
    </w:p>
    <w:p>
      <w:pPr>
        <w:spacing w:line="600" w:lineRule="exact"/>
        <w:ind w:firstLine="560" w:firstLineChars="200"/>
        <w:outlineLvl w:val="0"/>
        <w:rPr>
          <w:rFonts w:hint="eastAsia" w:ascii="仿宋_GB2312"/>
          <w:sz w:val="28"/>
          <w:szCs w:val="28"/>
          <w:lang w:val="en-US" w:eastAsia="zh-CN"/>
        </w:rPr>
      </w:pPr>
      <w:r>
        <w:rPr>
          <w:rFonts w:hint="eastAsia" w:ascii="仿宋_GB2312"/>
          <w:sz w:val="28"/>
          <w:szCs w:val="28"/>
          <w:lang w:val="en-US" w:eastAsia="zh-CN"/>
        </w:rPr>
        <w:t>（1）项目实施依据</w:t>
      </w:r>
    </w:p>
    <w:p>
      <w:pPr>
        <w:pStyle w:val="8"/>
        <w:ind w:left="0" w:leftChars="0" w:firstLine="840" w:firstLineChars="3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《关于修订福建省专利申请资助办法》（闽知规[2015]28号）</w:t>
      </w:r>
    </w:p>
    <w:p>
      <w:pPr>
        <w:numPr>
          <w:ilvl w:val="0"/>
          <w:numId w:val="1"/>
        </w:numPr>
        <w:spacing w:line="600" w:lineRule="exact"/>
        <w:ind w:firstLine="560" w:firstLineChars="200"/>
        <w:outlineLvl w:val="0"/>
        <w:rPr>
          <w:rFonts w:hint="eastAsia" w:ascii="仿宋_GB2312"/>
          <w:sz w:val="28"/>
          <w:szCs w:val="28"/>
          <w:lang w:val="en-US" w:eastAsia="zh-CN"/>
        </w:rPr>
      </w:pPr>
      <w:r>
        <w:rPr>
          <w:rFonts w:hint="eastAsia" w:ascii="仿宋_GB2312"/>
          <w:sz w:val="28"/>
          <w:szCs w:val="28"/>
          <w:lang w:val="en-US" w:eastAsia="zh-CN"/>
        </w:rPr>
        <w:t>项目申报的可行性、必要性及其论证过程</w:t>
      </w:r>
    </w:p>
    <w:p>
      <w:pPr>
        <w:widowControl/>
        <w:tabs>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专利申请资助能减轻专利权人、特别是企业负担，激发创造热情，促进科技成果专利化，增加专利拥有量，提升专利绩效考核水平。</w:t>
      </w:r>
    </w:p>
    <w:p>
      <w:pPr>
        <w:spacing w:line="600" w:lineRule="exact"/>
        <w:ind w:firstLine="560" w:firstLineChars="200"/>
        <w:outlineLvl w:val="0"/>
        <w:rPr>
          <w:rFonts w:hint="eastAsia" w:ascii="仿宋_GB2312"/>
          <w:sz w:val="28"/>
          <w:szCs w:val="28"/>
          <w:lang w:val="en-US" w:eastAsia="zh-CN"/>
        </w:rPr>
      </w:pPr>
      <w:r>
        <w:rPr>
          <w:rFonts w:hint="eastAsia" w:ascii="仿宋_GB2312"/>
          <w:sz w:val="28"/>
          <w:szCs w:val="28"/>
          <w:lang w:val="en-US" w:eastAsia="zh-CN"/>
        </w:rPr>
        <w:t>2.主要内容</w:t>
      </w:r>
    </w:p>
    <w:p>
      <w:pPr>
        <w:spacing w:line="600" w:lineRule="exact"/>
        <w:ind w:firstLine="560" w:firstLineChars="200"/>
        <w:outlineLvl w:val="0"/>
        <w:rPr>
          <w:rFonts w:hint="eastAsia" w:ascii="仿宋_GB2312"/>
          <w:sz w:val="28"/>
          <w:szCs w:val="28"/>
          <w:lang w:val="en-US" w:eastAsia="zh-CN"/>
        </w:rPr>
      </w:pPr>
      <w:r>
        <w:rPr>
          <w:rFonts w:hint="eastAsia" w:ascii="仿宋_GB2312"/>
          <w:sz w:val="28"/>
          <w:szCs w:val="28"/>
          <w:lang w:val="en-US" w:eastAsia="zh-CN"/>
        </w:rPr>
        <w:t>项目实施主要内容、涉及范围、资金用途</w:t>
      </w:r>
    </w:p>
    <w:p>
      <w:pPr>
        <w:widowControl/>
        <w:tabs>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专利申请资助资金，主要资助第一专利人（第一专利申请人）的地址在本市的企事业单位、机关、团体和个人。资助范围是国内发明专利的申请和授权以及PCT专利国际申请及国外授权专利</w:t>
      </w:r>
      <w:r>
        <w:rPr>
          <w:rFonts w:hint="eastAsia" w:ascii="仿宋_GB2312" w:hAnsi="宋体" w:cs="宋体"/>
          <w:kern w:val="0"/>
          <w:sz w:val="32"/>
          <w:szCs w:val="32"/>
          <w:lang w:eastAsia="zh-CN"/>
        </w:rPr>
        <w:t>。</w:t>
      </w:r>
    </w:p>
    <w:p>
      <w:pPr>
        <w:pStyle w:val="8"/>
        <w:rPr>
          <w:rFonts w:hint="eastAsia"/>
          <w:lang w:val="en-US" w:eastAsia="zh-CN"/>
        </w:rPr>
      </w:pPr>
    </w:p>
    <w:p>
      <w:pPr>
        <w:spacing w:line="600" w:lineRule="exact"/>
        <w:ind w:firstLine="560" w:firstLineChars="200"/>
        <w:outlineLvl w:val="0"/>
        <w:rPr>
          <w:rFonts w:hint="eastAsia" w:ascii="仿宋_GB2312"/>
          <w:sz w:val="28"/>
          <w:szCs w:val="28"/>
          <w:lang w:val="en-US" w:eastAsia="zh-CN"/>
        </w:rPr>
      </w:pPr>
      <w:r>
        <w:rPr>
          <w:rFonts w:hint="eastAsia" w:ascii="仿宋_GB2312"/>
          <w:sz w:val="28"/>
          <w:szCs w:val="28"/>
          <w:lang w:val="en-US" w:eastAsia="zh-CN"/>
        </w:rPr>
        <w:t>3.项目实施情况</w:t>
      </w:r>
    </w:p>
    <w:p>
      <w:pPr>
        <w:spacing w:line="600" w:lineRule="exact"/>
        <w:ind w:firstLine="560" w:firstLineChars="200"/>
        <w:outlineLvl w:val="0"/>
        <w:rPr>
          <w:rFonts w:hint="eastAsia" w:ascii="仿宋_GB2312"/>
          <w:sz w:val="28"/>
          <w:szCs w:val="28"/>
          <w:lang w:val="en-US" w:eastAsia="zh-CN"/>
        </w:rPr>
      </w:pPr>
      <w:r>
        <w:rPr>
          <w:rFonts w:hint="eastAsia" w:ascii="仿宋_GB2312"/>
          <w:sz w:val="28"/>
          <w:szCs w:val="28"/>
          <w:lang w:val="en-US" w:eastAsia="zh-CN"/>
        </w:rPr>
        <w:t>（1）项目组织管理情况</w:t>
      </w:r>
    </w:p>
    <w:p>
      <w:pPr>
        <w:spacing w:line="600" w:lineRule="exact"/>
        <w:ind w:firstLine="560" w:firstLineChars="200"/>
        <w:outlineLvl w:val="0"/>
        <w:rPr>
          <w:rFonts w:hint="eastAsia" w:ascii="仿宋_GB2312"/>
          <w:sz w:val="28"/>
          <w:szCs w:val="28"/>
          <w:highlight w:val="yellow"/>
          <w:lang w:val="en-US" w:eastAsia="zh-CN"/>
        </w:rPr>
      </w:pPr>
      <w:r>
        <w:rPr>
          <w:rFonts w:hint="eastAsia" w:ascii="仿宋_GB2312"/>
          <w:sz w:val="28"/>
          <w:szCs w:val="28"/>
          <w:highlight w:val="yellow"/>
          <w:lang w:val="en-US" w:eastAsia="zh-CN"/>
        </w:rPr>
        <w:t>包括项目执行情况、采取的纠偏相关措施、项目管理制度及执行情况</w:t>
      </w:r>
    </w:p>
    <w:p>
      <w:pPr>
        <w:spacing w:line="600" w:lineRule="exact"/>
        <w:ind w:firstLine="560" w:firstLineChars="200"/>
        <w:outlineLvl w:val="0"/>
        <w:rPr>
          <w:rFonts w:hint="default" w:ascii="仿宋_GB2312"/>
          <w:sz w:val="28"/>
          <w:szCs w:val="28"/>
          <w:lang w:val="en-US" w:eastAsia="zh-CN"/>
        </w:rPr>
      </w:pPr>
      <w:r>
        <w:rPr>
          <w:rFonts w:hint="eastAsia" w:ascii="仿宋_GB2312"/>
          <w:sz w:val="28"/>
          <w:szCs w:val="28"/>
          <w:lang w:val="en-US" w:eastAsia="zh-CN"/>
        </w:rPr>
        <w:t>（2）项目资金使用情况</w:t>
      </w:r>
    </w:p>
    <w:p>
      <w:pPr>
        <w:spacing w:line="600" w:lineRule="exact"/>
        <w:ind w:firstLine="560" w:firstLineChars="200"/>
        <w:rPr>
          <w:rFonts w:hint="eastAsia" w:ascii="仿宋_GB2312"/>
          <w:sz w:val="28"/>
          <w:szCs w:val="28"/>
          <w:lang w:val="en-US" w:eastAsia="zh-CN"/>
        </w:rPr>
      </w:pPr>
      <w:r>
        <w:rPr>
          <w:rFonts w:hint="eastAsia" w:ascii="仿宋_GB2312"/>
          <w:sz w:val="28"/>
          <w:szCs w:val="28"/>
          <w:lang w:val="en-US" w:eastAsia="zh-CN"/>
        </w:rPr>
        <w:t>2021年度专利申请资助经费项目总投入135万元，其中：财政支出预算安排135万元。2021年资金到位135万元，资金到位率100%，实际使用121.98万元，实际支出率90.35%。支出资金主要用于专利申请资助等方面，资金使用合法合规。</w:t>
      </w:r>
    </w:p>
    <w:p>
      <w:pPr>
        <w:spacing w:line="600" w:lineRule="exact"/>
        <w:ind w:firstLine="560" w:firstLineChars="200"/>
        <w:rPr>
          <w:rFonts w:hint="eastAsia" w:ascii="仿宋_GB2312"/>
          <w:sz w:val="28"/>
          <w:szCs w:val="28"/>
        </w:rPr>
      </w:pPr>
      <w:r>
        <w:rPr>
          <w:rFonts w:hint="eastAsia" w:ascii="仿宋_GB2312"/>
          <w:sz w:val="28"/>
          <w:szCs w:val="28"/>
        </w:rPr>
        <w:t>（二）项目绩效目标。</w:t>
      </w:r>
    </w:p>
    <w:p>
      <w:pPr>
        <w:spacing w:line="600" w:lineRule="exact"/>
        <w:ind w:firstLine="560" w:firstLineChars="200"/>
        <w:rPr>
          <w:rFonts w:hint="eastAsia" w:ascii="仿宋_GB2312"/>
          <w:sz w:val="28"/>
          <w:szCs w:val="28"/>
        </w:rPr>
      </w:pPr>
      <w:r>
        <w:rPr>
          <w:rFonts w:hint="eastAsia" w:ascii="仿宋_GB2312"/>
          <w:sz w:val="28"/>
          <w:szCs w:val="28"/>
          <w:lang w:val="en-US" w:eastAsia="zh-CN"/>
        </w:rPr>
        <w:t>1.</w:t>
      </w:r>
      <w:r>
        <w:rPr>
          <w:rFonts w:hint="eastAsia" w:ascii="仿宋_GB2312"/>
          <w:sz w:val="28"/>
          <w:szCs w:val="28"/>
        </w:rPr>
        <w:t>总体目标</w:t>
      </w:r>
    </w:p>
    <w:p>
      <w:pPr>
        <w:pStyle w:val="8"/>
        <w:rPr>
          <w:rFonts w:hint="eastAsia"/>
        </w:rPr>
      </w:pPr>
      <w:r>
        <w:rPr>
          <w:rFonts w:hint="eastAsia"/>
        </w:rPr>
        <w:t>知识产权创造质量明显提高，截止2021年1</w:t>
      </w:r>
      <w:r>
        <w:rPr>
          <w:rFonts w:hint="eastAsia"/>
          <w:lang w:val="en-US" w:eastAsia="zh-CN"/>
        </w:rPr>
        <w:t>2</w:t>
      </w:r>
      <w:r>
        <w:rPr>
          <w:rFonts w:hint="eastAsia"/>
        </w:rPr>
        <w:t>月全市发明专利授权</w:t>
      </w:r>
      <w:r>
        <w:rPr>
          <w:rFonts w:hint="eastAsia"/>
          <w:lang w:val="en-US" w:eastAsia="zh-CN"/>
        </w:rPr>
        <w:t>352</w:t>
      </w:r>
      <w:r>
        <w:rPr>
          <w:rFonts w:hint="eastAsia"/>
        </w:rPr>
        <w:t>年，全市共存有效发明专利13</w:t>
      </w:r>
      <w:r>
        <w:rPr>
          <w:rFonts w:hint="eastAsia"/>
          <w:lang w:val="en-US" w:eastAsia="zh-CN"/>
        </w:rPr>
        <w:t>52</w:t>
      </w:r>
      <w:r>
        <w:rPr>
          <w:rFonts w:hint="eastAsia"/>
        </w:rPr>
        <w:t>件。知识产权运用成效明显提升。10家企业通过知识产权管理规范认证；4个项目获得体会局推荐参评中国专利奖。</w:t>
      </w:r>
    </w:p>
    <w:p>
      <w:pPr>
        <w:spacing w:line="600" w:lineRule="exact"/>
        <w:ind w:firstLine="560" w:firstLineChars="200"/>
        <w:rPr>
          <w:rFonts w:hint="eastAsia" w:ascii="仿宋_GB2312"/>
          <w:sz w:val="28"/>
          <w:szCs w:val="28"/>
        </w:rPr>
      </w:pPr>
      <w:r>
        <w:rPr>
          <w:rFonts w:hint="eastAsia" w:ascii="仿宋_GB2312"/>
          <w:sz w:val="28"/>
          <w:szCs w:val="28"/>
          <w:lang w:val="en-US" w:eastAsia="zh-CN"/>
        </w:rPr>
        <w:t>2.</w:t>
      </w:r>
      <w:r>
        <w:rPr>
          <w:rFonts w:hint="eastAsia" w:ascii="仿宋_GB2312"/>
          <w:sz w:val="28"/>
          <w:szCs w:val="28"/>
        </w:rPr>
        <w:t>阶段性目标</w:t>
      </w:r>
    </w:p>
    <w:p>
      <w:pPr>
        <w:pStyle w:val="8"/>
        <w:rPr>
          <w:rFonts w:hint="eastAsia"/>
          <w:highlight w:val="none"/>
        </w:rPr>
      </w:pPr>
      <w:r>
        <w:rPr>
          <w:rFonts w:hint="eastAsia"/>
          <w:highlight w:val="none"/>
        </w:rPr>
        <w:t>知识产权创造质量明显提高，截止2021年11月全市发明专利授权</w:t>
      </w:r>
      <w:r>
        <w:rPr>
          <w:rFonts w:hint="eastAsia"/>
          <w:highlight w:val="none"/>
          <w:lang w:val="en-US" w:eastAsia="zh-CN"/>
        </w:rPr>
        <w:t>352</w:t>
      </w:r>
      <w:r>
        <w:rPr>
          <w:rFonts w:hint="eastAsia"/>
          <w:highlight w:val="none"/>
        </w:rPr>
        <w:t>年，全市共存有效发明专利13</w:t>
      </w:r>
      <w:r>
        <w:rPr>
          <w:rFonts w:hint="eastAsia"/>
          <w:highlight w:val="none"/>
          <w:lang w:val="en-US" w:eastAsia="zh-CN"/>
        </w:rPr>
        <w:t>52</w:t>
      </w:r>
      <w:r>
        <w:rPr>
          <w:rFonts w:hint="eastAsia"/>
          <w:highlight w:val="none"/>
        </w:rPr>
        <w:t>件。知识产权运用成效明显提升。10家企业通过知识产权管理规范认证；4个项目获得体会局推荐参评中国专利奖。</w:t>
      </w:r>
    </w:p>
    <w:p>
      <w:pPr>
        <w:pStyle w:val="8"/>
      </w:pPr>
    </w:p>
    <w:p>
      <w:pPr>
        <w:spacing w:line="600" w:lineRule="exact"/>
        <w:ind w:firstLine="560" w:firstLineChars="200"/>
        <w:rPr>
          <w:rFonts w:ascii="黑体" w:hAnsi="黑体" w:eastAsia="黑体"/>
          <w:sz w:val="28"/>
          <w:szCs w:val="28"/>
        </w:rPr>
      </w:pPr>
      <w:r>
        <w:rPr>
          <w:rFonts w:hint="eastAsia" w:ascii="黑体" w:hAnsi="黑体" w:eastAsia="黑体"/>
          <w:sz w:val="28"/>
          <w:szCs w:val="28"/>
        </w:rPr>
        <w:t>二、绩效评价工作开展情况</w:t>
      </w:r>
    </w:p>
    <w:p>
      <w:pPr>
        <w:spacing w:line="600" w:lineRule="exact"/>
        <w:ind w:firstLine="560" w:firstLineChars="200"/>
        <w:rPr>
          <w:rFonts w:hint="eastAsia" w:ascii="仿宋_GB2312"/>
          <w:sz w:val="28"/>
          <w:szCs w:val="28"/>
        </w:rPr>
      </w:pPr>
      <w:r>
        <w:rPr>
          <w:rFonts w:hint="eastAsia" w:ascii="仿宋_GB2312"/>
          <w:sz w:val="28"/>
          <w:szCs w:val="28"/>
        </w:rPr>
        <w:t>（</w:t>
      </w:r>
      <w:r>
        <w:rPr>
          <w:rFonts w:hint="eastAsia" w:ascii="仿宋_GB2312"/>
          <w:sz w:val="28"/>
          <w:szCs w:val="28"/>
          <w:lang w:eastAsia="zh-CN"/>
        </w:rPr>
        <w:t>一</w:t>
      </w:r>
      <w:r>
        <w:rPr>
          <w:rFonts w:hint="eastAsia" w:ascii="仿宋_GB2312"/>
          <w:sz w:val="28"/>
          <w:szCs w:val="28"/>
        </w:rPr>
        <w:t>）绩效评价原则、评价指标体系（附表说明）、评价方法、评价标准等</w:t>
      </w:r>
    </w:p>
    <w:p>
      <w:pPr>
        <w:pageBreakBefore w:val="0"/>
        <w:widowControl w:val="0"/>
        <w:kinsoku/>
        <w:wordWrap/>
        <w:overflowPunct/>
        <w:topLinePunct w:val="0"/>
        <w:autoSpaceDE/>
        <w:autoSpaceDN/>
        <w:bidi w:val="0"/>
        <w:adjustRightInd/>
        <w:snapToGrid/>
        <w:spacing w:line="440" w:lineRule="exact"/>
        <w:ind w:right="0" w:righ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专项经费绩效评价，是指根据设定的绩效目标，运用科学、合理的绩效评价指标、评价标准和评价方法，对专项经费的经济性、效率性和效益性进行客观、公正的评价。因此，在设计绩效评价指标体系之前，应首先明确绩效评价的原则、方法和标准。</w:t>
      </w:r>
    </w:p>
    <w:p>
      <w:pPr>
        <w:pageBreakBefore w:val="0"/>
        <w:widowControl w:val="0"/>
        <w:kinsoku/>
        <w:wordWrap/>
        <w:overflowPunct/>
        <w:topLinePunct w:val="0"/>
        <w:autoSpaceDE/>
        <w:autoSpaceDN/>
        <w:bidi w:val="0"/>
        <w:adjustRightInd/>
        <w:snapToGrid/>
        <w:spacing w:line="440" w:lineRule="exact"/>
        <w:ind w:right="0" w:rightChars="0"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1、绩效评价指标的确定应当遵循的原则</w:t>
      </w:r>
    </w:p>
    <w:p>
      <w:pPr>
        <w:pageBreakBefore w:val="0"/>
        <w:widowControl w:val="0"/>
        <w:kinsoku/>
        <w:wordWrap/>
        <w:overflowPunct/>
        <w:topLinePunct w:val="0"/>
        <w:autoSpaceDE/>
        <w:autoSpaceDN/>
        <w:bidi w:val="0"/>
        <w:adjustRightInd/>
        <w:snapToGrid/>
        <w:spacing w:line="440" w:lineRule="exact"/>
        <w:ind w:right="0" w:righ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专项经费绩效评价是财政支出绩效评价的重要组成部分，因此，适用于财政支出绩效评价指标确定的原则也同样适用于科普专项经费专项资金绩效评价。根据财政部2011年出台的《财政支出绩效评价管理暂行办法》，绩效评价指标的确定应当遵循以下基本原则：</w:t>
      </w:r>
    </w:p>
    <w:p>
      <w:pPr>
        <w:pageBreakBefore w:val="0"/>
        <w:widowControl w:val="0"/>
        <w:kinsoku/>
        <w:wordWrap/>
        <w:overflowPunct/>
        <w:topLinePunct w:val="0"/>
        <w:autoSpaceDE/>
        <w:autoSpaceDN/>
        <w:bidi w:val="0"/>
        <w:adjustRightInd/>
        <w:snapToGrid/>
        <w:spacing w:line="440" w:lineRule="exact"/>
        <w:ind w:right="0" w:righ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（1）相关性原则。确定的绩效评价指标应当与绩效目标有直接的联系，能够恰当反映目标的实现程度，而与绩效目标无关的指标不应列入评价体系。</w:t>
      </w:r>
    </w:p>
    <w:p>
      <w:pPr>
        <w:pageBreakBefore w:val="0"/>
        <w:widowControl w:val="0"/>
        <w:kinsoku/>
        <w:wordWrap/>
        <w:overflowPunct/>
        <w:topLinePunct w:val="0"/>
        <w:autoSpaceDE/>
        <w:autoSpaceDN/>
        <w:bidi w:val="0"/>
        <w:adjustRightInd/>
        <w:snapToGrid/>
        <w:spacing w:line="440" w:lineRule="exact"/>
        <w:ind w:right="0" w:righ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重要性原则。应当优先使用最具评价对象代表性、最能反映评价要求的核心指标，而对于那些无足轻重、可有可无的指标应该舍弃，否则，可能造成评价体系过于庞杂，可操作性不强，且不能突出反映问题。</w:t>
      </w:r>
    </w:p>
    <w:p>
      <w:pPr>
        <w:pageBreakBefore w:val="0"/>
        <w:widowControl w:val="0"/>
        <w:kinsoku/>
        <w:wordWrap/>
        <w:overflowPunct/>
        <w:topLinePunct w:val="0"/>
        <w:autoSpaceDE/>
        <w:autoSpaceDN/>
        <w:bidi w:val="0"/>
        <w:adjustRightInd/>
        <w:snapToGrid/>
        <w:spacing w:line="440" w:lineRule="exact"/>
        <w:ind w:right="0" w:righ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（3）可比性原则。对同类评价对象要设定共性的绩效评价指标，以便于评价结果可以相互比较。譬如，项目立项、资金落实、业务管理、财务管理等就属于共性指标。</w:t>
      </w:r>
    </w:p>
    <w:p>
      <w:pPr>
        <w:pageBreakBefore w:val="0"/>
        <w:widowControl w:val="0"/>
        <w:kinsoku/>
        <w:wordWrap/>
        <w:overflowPunct/>
        <w:topLinePunct w:val="0"/>
        <w:autoSpaceDE/>
        <w:autoSpaceDN/>
        <w:bidi w:val="0"/>
        <w:adjustRightInd/>
        <w:snapToGrid/>
        <w:spacing w:line="440" w:lineRule="exact"/>
        <w:ind w:right="0" w:righ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（4）系统性原则。应当将定量指标与定性指标相结合，系统反映财政支出所产生的经济效益、社会效益、环境效益和可持续效益等。</w:t>
      </w:r>
    </w:p>
    <w:p>
      <w:pPr>
        <w:pageBreakBefore w:val="0"/>
        <w:widowControl w:val="0"/>
        <w:kinsoku/>
        <w:wordWrap/>
        <w:overflowPunct/>
        <w:topLinePunct w:val="0"/>
        <w:autoSpaceDE/>
        <w:autoSpaceDN/>
        <w:bidi w:val="0"/>
        <w:adjustRightInd/>
        <w:snapToGrid/>
        <w:spacing w:line="440" w:lineRule="exact"/>
        <w:ind w:right="0" w:righ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（5）经济性原则。绩效评价指标不是设计得越复杂越好，应当通俗易懂、简便易行，数据的获得应当考虑现实条件和可操作性，符合成本效益原则。</w:t>
      </w:r>
    </w:p>
    <w:p>
      <w:pPr>
        <w:pageBreakBefore w:val="0"/>
        <w:widowControl w:val="0"/>
        <w:kinsoku/>
        <w:wordWrap/>
        <w:overflowPunct/>
        <w:topLinePunct w:val="0"/>
        <w:autoSpaceDE/>
        <w:autoSpaceDN/>
        <w:bidi w:val="0"/>
        <w:adjustRightInd/>
        <w:snapToGrid/>
        <w:spacing w:line="440" w:lineRule="exact"/>
        <w:ind w:right="0" w:rightChars="0"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2、评价指标体系</w:t>
      </w:r>
    </w:p>
    <w:p>
      <w:pPr>
        <w:pageBreakBefore w:val="0"/>
        <w:widowControl w:val="0"/>
        <w:kinsoku/>
        <w:wordWrap/>
        <w:overflowPunct/>
        <w:topLinePunct w:val="0"/>
        <w:autoSpaceDE/>
        <w:autoSpaceDN/>
        <w:bidi w:val="0"/>
        <w:adjustRightInd/>
        <w:snapToGrid/>
        <w:spacing w:line="440" w:lineRule="exact"/>
        <w:ind w:right="0" w:righ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绩效评价工作组根据财政部、福建省和莆田市财政支出绩效评价的有关规定要求，依据上述原则、方法和标准，结合202</w:t>
      </w:r>
      <w:r>
        <w:rPr>
          <w:rFonts w:hint="eastAsia" w:ascii="仿宋_GB2312" w:hAnsi="仿宋_GB2312" w:cs="仿宋_GB2312"/>
          <w:sz w:val="30"/>
          <w:szCs w:val="30"/>
          <w:lang w:val="en-US" w:eastAsia="zh-CN"/>
        </w:rPr>
        <w:t>1</w:t>
      </w:r>
      <w:r>
        <w:rPr>
          <w:rFonts w:hint="eastAsia" w:ascii="仿宋_GB2312" w:hAnsi="仿宋_GB2312" w:eastAsia="仿宋_GB2312" w:cs="仿宋_GB2312"/>
          <w:sz w:val="30"/>
          <w:szCs w:val="30"/>
          <w:lang w:val="en-US" w:eastAsia="zh-CN"/>
        </w:rPr>
        <w:t>年度专利申请资助经费实际情况，围绕项目决策、过程、产出、效益四个方面设计绩效评价指标以及评分标准和分值。</w:t>
      </w:r>
    </w:p>
    <w:p>
      <w:pPr>
        <w:pageBreakBefore w:val="0"/>
        <w:widowControl w:val="0"/>
        <w:kinsoku/>
        <w:wordWrap/>
        <w:overflowPunct/>
        <w:topLinePunct w:val="0"/>
        <w:autoSpaceDE/>
        <w:autoSpaceDN/>
        <w:bidi w:val="0"/>
        <w:adjustRightInd/>
        <w:snapToGrid/>
        <w:spacing w:line="440" w:lineRule="exact"/>
        <w:ind w:right="0" w:righ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指标体系共设置对4个一级指标、</w:t>
      </w:r>
      <w:r>
        <w:rPr>
          <w:rFonts w:hint="eastAsia" w:ascii="仿宋_GB2312" w:hAnsi="仿宋_GB2312" w:cs="仿宋_GB2312"/>
          <w:sz w:val="30"/>
          <w:szCs w:val="30"/>
          <w:lang w:val="en-US" w:eastAsia="zh-CN"/>
        </w:rPr>
        <w:t>10</w:t>
      </w:r>
      <w:r>
        <w:rPr>
          <w:rFonts w:hint="eastAsia" w:ascii="仿宋_GB2312" w:hAnsi="仿宋_GB2312" w:eastAsia="仿宋_GB2312" w:cs="仿宋_GB2312"/>
          <w:sz w:val="30"/>
          <w:szCs w:val="30"/>
          <w:lang w:val="en-US" w:eastAsia="zh-CN"/>
        </w:rPr>
        <w:t>个二级指标</w:t>
      </w:r>
      <w:r>
        <w:rPr>
          <w:rFonts w:hint="eastAsia" w:ascii="仿宋_GB2312" w:hAnsi="仿宋_GB2312" w:eastAsia="仿宋_GB2312" w:cs="仿宋_GB2312"/>
          <w:color w:val="000000"/>
          <w:sz w:val="30"/>
          <w:szCs w:val="30"/>
        </w:rPr>
        <w:t>和</w:t>
      </w:r>
      <w:r>
        <w:rPr>
          <w:rFonts w:hint="eastAsia" w:ascii="仿宋_GB2312" w:hAnsi="仿宋_GB2312" w:eastAsia="仿宋_GB2312" w:cs="仿宋_GB2312"/>
          <w:color w:val="000000"/>
          <w:sz w:val="30"/>
          <w:szCs w:val="30"/>
          <w:lang w:val="en-US" w:eastAsia="zh-CN"/>
        </w:rPr>
        <w:t>19</w:t>
      </w:r>
      <w:r>
        <w:rPr>
          <w:rFonts w:hint="eastAsia" w:ascii="仿宋_GB2312" w:hAnsi="仿宋_GB2312" w:eastAsia="仿宋_GB2312" w:cs="仿宋_GB2312"/>
          <w:color w:val="000000"/>
          <w:sz w:val="30"/>
          <w:szCs w:val="30"/>
        </w:rPr>
        <w:t>个三级指标。</w:t>
      </w:r>
      <w:r>
        <w:rPr>
          <w:rFonts w:hint="eastAsia" w:ascii="仿宋_GB2312" w:hAnsi="仿宋_GB2312" w:eastAsia="仿宋_GB2312" w:cs="仿宋_GB2312"/>
          <w:sz w:val="30"/>
          <w:szCs w:val="30"/>
          <w:lang w:val="en-US" w:eastAsia="zh-CN"/>
        </w:rPr>
        <w:t>一级指标为决策、过程、产出、效益。指标体系设定满分100分，其中：“决策”</w:t>
      </w:r>
      <w:r>
        <w:rPr>
          <w:rFonts w:hint="eastAsia" w:ascii="仿宋_GB2312" w:hAnsi="仿宋_GB2312" w:cs="仿宋_GB2312"/>
          <w:sz w:val="30"/>
          <w:szCs w:val="30"/>
          <w:lang w:val="en-US" w:eastAsia="zh-CN"/>
        </w:rPr>
        <w:t>15</w:t>
      </w:r>
      <w:r>
        <w:rPr>
          <w:rFonts w:hint="eastAsia" w:ascii="仿宋_GB2312" w:hAnsi="仿宋_GB2312" w:eastAsia="仿宋_GB2312" w:cs="仿宋_GB2312"/>
          <w:sz w:val="30"/>
          <w:szCs w:val="30"/>
          <w:lang w:val="en-US" w:eastAsia="zh-CN"/>
        </w:rPr>
        <w:t>分，主要体现项目资金落实和业务管理等方面的情况；“过程”</w:t>
      </w:r>
      <w:r>
        <w:rPr>
          <w:rFonts w:hint="eastAsia" w:ascii="仿宋_GB2312" w:hAnsi="仿宋_GB2312" w:cs="仿宋_GB2312"/>
          <w:sz w:val="30"/>
          <w:szCs w:val="30"/>
          <w:lang w:val="en-US" w:eastAsia="zh-CN"/>
        </w:rPr>
        <w:t>15</w:t>
      </w:r>
      <w:r>
        <w:rPr>
          <w:rFonts w:hint="eastAsia" w:ascii="仿宋_GB2312" w:hAnsi="仿宋_GB2312" w:eastAsia="仿宋_GB2312" w:cs="仿宋_GB2312"/>
          <w:sz w:val="30"/>
          <w:szCs w:val="30"/>
          <w:lang w:val="en-US" w:eastAsia="zh-CN"/>
        </w:rPr>
        <w:t>分，主要体现在资金管理和组织实施等方面情况；“产出”</w:t>
      </w:r>
      <w:r>
        <w:rPr>
          <w:rFonts w:hint="eastAsia" w:ascii="仿宋_GB2312" w:hAnsi="仿宋_GB2312" w:cs="仿宋_GB2312"/>
          <w:sz w:val="30"/>
          <w:szCs w:val="30"/>
          <w:lang w:val="en-US" w:eastAsia="zh-CN"/>
        </w:rPr>
        <w:t>30</w:t>
      </w:r>
      <w:r>
        <w:rPr>
          <w:rFonts w:hint="eastAsia" w:ascii="仿宋_GB2312" w:hAnsi="仿宋_GB2312" w:eastAsia="仿宋_GB2312" w:cs="仿宋_GB2312"/>
          <w:sz w:val="30"/>
          <w:szCs w:val="30"/>
          <w:lang w:val="en-US" w:eastAsia="zh-CN"/>
        </w:rPr>
        <w:t>分，主要体现项目的数量、质量、时效指标；“效益”</w:t>
      </w:r>
      <w:r>
        <w:rPr>
          <w:rFonts w:hint="eastAsia" w:ascii="仿宋_GB2312" w:hAnsi="仿宋_GB2312" w:cs="仿宋_GB2312"/>
          <w:sz w:val="30"/>
          <w:szCs w:val="30"/>
          <w:lang w:val="en-US" w:eastAsia="zh-CN"/>
        </w:rPr>
        <w:t>40</w:t>
      </w:r>
      <w:r>
        <w:rPr>
          <w:rFonts w:hint="eastAsia" w:ascii="仿宋_GB2312" w:hAnsi="仿宋_GB2312" w:eastAsia="仿宋_GB2312" w:cs="仿宋_GB2312"/>
          <w:sz w:val="30"/>
          <w:szCs w:val="30"/>
          <w:lang w:val="en-US" w:eastAsia="zh-CN"/>
        </w:rPr>
        <w:t>分，主要体现项目实施后的社会效益、服务对象满意度指标。基于外部独立评价的特点和要求，指标设置和评分标准力求可行性、客观性、科学性与简明性。指标体系和评分标准如表1所示。</w:t>
      </w:r>
    </w:p>
    <w:p>
      <w:pPr>
        <w:pStyle w:val="2"/>
        <w:rPr>
          <w:rFonts w:hint="eastAsia"/>
          <w:lang w:val="en-US" w:eastAsia="zh-CN"/>
        </w:rPr>
      </w:pPr>
      <w:r>
        <w:rPr>
          <w:rFonts w:hint="eastAsia"/>
          <w:lang w:val="en-US" w:eastAsia="zh-CN"/>
        </w:rPr>
        <w:t>表1</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937"/>
        <w:gridCol w:w="910"/>
        <w:gridCol w:w="2025"/>
        <w:gridCol w:w="2433"/>
        <w:gridCol w:w="489"/>
        <w:gridCol w:w="489"/>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967" w:type="dxa"/>
            <w:gridSpan w:val="8"/>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专利申请资助经费项目部门评价评分表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指标</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指标</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指标</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指标解释</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指标说明及评分标准</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权重</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得分</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（15分）</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（6分）　</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充分性</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项目立项是否符合法律法规、相关政策、发展规划以及部门职责，用以反映和考核项目立项依据情况。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评价要点：</w:t>
            </w:r>
            <w:r>
              <w:rPr>
                <w:rStyle w:val="11"/>
                <w:lang w:val="en-US" w:eastAsia="zh-CN" w:bidi="ar"/>
              </w:rPr>
              <w:br w:type="textWrapping"/>
            </w:r>
            <w:r>
              <w:rPr>
                <w:rStyle w:val="11"/>
                <w:lang w:val="en-US" w:eastAsia="zh-CN" w:bidi="ar"/>
              </w:rPr>
              <w:t>①项目立项是否符合国家法律法规、国民经济发展规划和相关政策（1分）；</w:t>
            </w:r>
            <w:r>
              <w:rPr>
                <w:rStyle w:val="11"/>
                <w:lang w:val="en-US" w:eastAsia="zh-CN" w:bidi="ar"/>
              </w:rPr>
              <w:br w:type="textWrapping"/>
            </w:r>
            <w:r>
              <w:rPr>
                <w:rStyle w:val="11"/>
                <w:lang w:val="en-US" w:eastAsia="zh-CN" w:bidi="ar"/>
              </w:rPr>
              <w:t>②项目立项是否符合行业发展规划和政策要求（0.5分）；</w:t>
            </w:r>
            <w:r>
              <w:rPr>
                <w:rStyle w:val="11"/>
                <w:lang w:val="en-US" w:eastAsia="zh-CN" w:bidi="ar"/>
              </w:rPr>
              <w:br w:type="textWrapping"/>
            </w:r>
            <w:r>
              <w:rPr>
                <w:rStyle w:val="11"/>
                <w:lang w:val="en-US" w:eastAsia="zh-CN" w:bidi="ar"/>
              </w:rPr>
              <w:t>③项目立项是否与部门职责范围相符，属于部门履职所需（0.5分）；</w:t>
            </w:r>
            <w:r>
              <w:rPr>
                <w:rStyle w:val="11"/>
                <w:lang w:val="en-US" w:eastAsia="zh-CN" w:bidi="ar"/>
              </w:rPr>
              <w:br w:type="textWrapping"/>
            </w:r>
            <w:r>
              <w:rPr>
                <w:rStyle w:val="11"/>
                <w:lang w:val="en-US" w:eastAsia="zh-CN" w:bidi="ar"/>
              </w:rPr>
              <w:t>④项目是否属于公共财政支持范围，是否符合市、县区事权支出责任划分原则（0.5分）；</w:t>
            </w:r>
            <w:r>
              <w:rPr>
                <w:rStyle w:val="11"/>
                <w:lang w:val="en-US" w:eastAsia="zh-CN" w:bidi="ar"/>
              </w:rPr>
              <w:br w:type="textWrapping"/>
            </w:r>
            <w:r>
              <w:rPr>
                <w:rStyle w:val="11"/>
                <w:lang w:val="en-US" w:eastAsia="zh-CN" w:bidi="ar"/>
              </w:rPr>
              <w:t>⑤项目是否与相关部门同类项目或部门内部相关项目重复（0.5分）。</w:t>
            </w:r>
            <w:r>
              <w:rPr>
                <w:rStyle w:val="11"/>
                <w:lang w:val="en-US" w:eastAsia="zh-CN" w:bidi="ar"/>
              </w:rPr>
              <w:br w:type="textWrapping"/>
            </w:r>
            <w:r>
              <w:rPr>
                <w:rStyle w:val="12"/>
                <w:lang w:val="en-US" w:eastAsia="zh-CN" w:bidi="ar"/>
              </w:rPr>
              <w:t>评分标准：符合上述五点要求的，则按各项分值计算得分；不符合则按照各项分值扣分，扣完为止。</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符合得分要求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项目申请、设立过程是否符合相关要求，用以反映和考核项目立项的规范情况。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评价要点：</w:t>
            </w:r>
            <w:r>
              <w:rPr>
                <w:rStyle w:val="11"/>
                <w:lang w:val="en-US" w:eastAsia="zh-CN" w:bidi="ar"/>
              </w:rPr>
              <w:br w:type="textWrapping"/>
            </w:r>
            <w:r>
              <w:rPr>
                <w:rStyle w:val="11"/>
                <w:lang w:val="en-US" w:eastAsia="zh-CN" w:bidi="ar"/>
              </w:rPr>
              <w:t>①项目是否按照规定的程序申请设立（1分）；</w:t>
            </w:r>
            <w:r>
              <w:rPr>
                <w:rStyle w:val="11"/>
                <w:lang w:val="en-US" w:eastAsia="zh-CN" w:bidi="ar"/>
              </w:rPr>
              <w:br w:type="textWrapping"/>
            </w:r>
            <w:r>
              <w:rPr>
                <w:rStyle w:val="11"/>
                <w:lang w:val="en-US" w:eastAsia="zh-CN" w:bidi="ar"/>
              </w:rPr>
              <w:t>②审批文件、材料是否符合相关要求（1分）；</w:t>
            </w:r>
            <w:r>
              <w:rPr>
                <w:rStyle w:val="11"/>
                <w:lang w:val="en-US" w:eastAsia="zh-CN" w:bidi="ar"/>
              </w:rPr>
              <w:br w:type="textWrapping"/>
            </w:r>
            <w:r>
              <w:rPr>
                <w:rStyle w:val="11"/>
                <w:lang w:val="en-US" w:eastAsia="zh-CN" w:bidi="ar"/>
              </w:rPr>
              <w:t>③事前是否已经过必要的可行性研究、专家论证、风险评估、绩效评估、集体决策（1分）。</w:t>
            </w:r>
            <w:r>
              <w:rPr>
                <w:rStyle w:val="11"/>
                <w:lang w:val="en-US" w:eastAsia="zh-CN" w:bidi="ar"/>
              </w:rPr>
              <w:br w:type="textWrapping"/>
            </w:r>
            <w:r>
              <w:rPr>
                <w:rStyle w:val="12"/>
                <w:lang w:val="en-US" w:eastAsia="zh-CN" w:bidi="ar"/>
              </w:rPr>
              <w:t>评分标准：符合上述三点要求的，则按各项分值计算得分；不符合则按照各项分值扣分，扣完为止。</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符合得分要求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（6分）　</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合理性</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项目所设定的绩效目标是否依据充分，是否符合客观实际，用以反映和考核项目绩效目标与项目实施的相符情况。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评价要点：</w:t>
            </w:r>
            <w:r>
              <w:rPr>
                <w:rStyle w:val="11"/>
                <w:lang w:val="en-US" w:eastAsia="zh-CN" w:bidi="ar"/>
              </w:rPr>
              <w:br w:type="textWrapping"/>
            </w:r>
            <w:r>
              <w:rPr>
                <w:rStyle w:val="11"/>
                <w:lang w:val="en-US" w:eastAsia="zh-CN" w:bidi="ar"/>
              </w:rPr>
              <w:t>①项目是否有绩效目标（0.5分）；</w:t>
            </w:r>
            <w:r>
              <w:rPr>
                <w:rStyle w:val="11"/>
                <w:lang w:val="en-US" w:eastAsia="zh-CN" w:bidi="ar"/>
              </w:rPr>
              <w:br w:type="textWrapping"/>
            </w:r>
            <w:r>
              <w:rPr>
                <w:rStyle w:val="11"/>
                <w:lang w:val="en-US" w:eastAsia="zh-CN" w:bidi="ar"/>
              </w:rPr>
              <w:t>②项目绩效目标与实际工作内容是否具有相关性（0.5分）；</w:t>
            </w:r>
            <w:r>
              <w:rPr>
                <w:rStyle w:val="11"/>
                <w:lang w:val="en-US" w:eastAsia="zh-CN" w:bidi="ar"/>
              </w:rPr>
              <w:br w:type="textWrapping"/>
            </w:r>
            <w:r>
              <w:rPr>
                <w:rStyle w:val="11"/>
                <w:lang w:val="en-US" w:eastAsia="zh-CN" w:bidi="ar"/>
              </w:rPr>
              <w:t>③项目预期产出效益和效果是否符合正常的业绩水平（1分）；</w:t>
            </w:r>
            <w:r>
              <w:rPr>
                <w:rStyle w:val="11"/>
                <w:lang w:val="en-US" w:eastAsia="zh-CN" w:bidi="ar"/>
              </w:rPr>
              <w:br w:type="textWrapping"/>
            </w:r>
            <w:r>
              <w:rPr>
                <w:rStyle w:val="11"/>
                <w:lang w:val="en-US" w:eastAsia="zh-CN" w:bidi="ar"/>
              </w:rPr>
              <w:t>④是否与预算确定的项目投资额或资金量相匹配（1分）。</w:t>
            </w:r>
            <w:r>
              <w:rPr>
                <w:rStyle w:val="11"/>
                <w:lang w:val="en-US" w:eastAsia="zh-CN" w:bidi="ar"/>
              </w:rPr>
              <w:br w:type="textWrapping"/>
            </w:r>
            <w:r>
              <w:rPr>
                <w:rStyle w:val="12"/>
                <w:lang w:val="en-US" w:eastAsia="zh-CN" w:bidi="ar"/>
              </w:rPr>
              <w:t>评分标准：符合上述四点要求的，则按各项分值计算得分；不符合则按照各项分值扣分，扣完为止。</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符合得分要求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明确性</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依据绩效目标设定的绩效指标是否清晰、细化、可衡量等，用以反映和考核项目绩效目标的明细化情况。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11"/>
                <w:lang w:val="en-US" w:eastAsia="zh-CN" w:bidi="ar"/>
              </w:rPr>
              <w:t>评价要点：</w:t>
            </w:r>
            <w:r>
              <w:rPr>
                <w:rStyle w:val="11"/>
                <w:lang w:val="en-US" w:eastAsia="zh-CN" w:bidi="ar"/>
              </w:rPr>
              <w:br w:type="textWrapping"/>
            </w:r>
            <w:r>
              <w:rPr>
                <w:rStyle w:val="11"/>
                <w:lang w:val="en-US" w:eastAsia="zh-CN" w:bidi="ar"/>
              </w:rPr>
              <w:t>①是否将项目绩效目标细化分解为具体的绩效指标（1分）；</w:t>
            </w:r>
            <w:r>
              <w:rPr>
                <w:rStyle w:val="11"/>
                <w:lang w:val="en-US" w:eastAsia="zh-CN" w:bidi="ar"/>
              </w:rPr>
              <w:br w:type="textWrapping"/>
            </w:r>
            <w:r>
              <w:rPr>
                <w:rStyle w:val="11"/>
                <w:lang w:val="en-US" w:eastAsia="zh-CN" w:bidi="ar"/>
              </w:rPr>
              <w:t>②是否通过清晰、可衡量的指标值予以体现（1分）；</w:t>
            </w:r>
            <w:r>
              <w:rPr>
                <w:rStyle w:val="11"/>
                <w:lang w:val="en-US" w:eastAsia="zh-CN" w:bidi="ar"/>
              </w:rPr>
              <w:br w:type="textWrapping"/>
            </w:r>
            <w:r>
              <w:rPr>
                <w:rStyle w:val="11"/>
                <w:lang w:val="en-US" w:eastAsia="zh-CN" w:bidi="ar"/>
              </w:rPr>
              <w:t>③是否与项目目标任务数或计划数相对应（1分）。</w:t>
            </w:r>
            <w:r>
              <w:rPr>
                <w:rStyle w:val="11"/>
                <w:lang w:val="en-US" w:eastAsia="zh-CN" w:bidi="ar"/>
              </w:rPr>
              <w:br w:type="textWrapping"/>
            </w:r>
            <w:r>
              <w:rPr>
                <w:rStyle w:val="12"/>
                <w:lang w:val="en-US" w:eastAsia="zh-CN" w:bidi="ar"/>
              </w:rPr>
              <w:t>评分标准：符合上述三点要求的，则按各项分值计算得分；不符合则按照各项分值扣分，扣完为止。</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符合得分要求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科学性</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项目预算编制是否经过科学论证、有明确标准，资金额度与年度目标是否相适应，用以反映和考核项目预算编制的科学性、合理性情况。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11"/>
                <w:lang w:val="en-US" w:eastAsia="zh-CN" w:bidi="ar"/>
              </w:rPr>
              <w:t>评价要点：</w:t>
            </w:r>
            <w:r>
              <w:rPr>
                <w:rStyle w:val="11"/>
                <w:lang w:val="en-US" w:eastAsia="zh-CN" w:bidi="ar"/>
              </w:rPr>
              <w:br w:type="textWrapping"/>
            </w:r>
            <w:r>
              <w:rPr>
                <w:rStyle w:val="11"/>
                <w:lang w:val="en-US" w:eastAsia="zh-CN" w:bidi="ar"/>
              </w:rPr>
              <w:t>①预算编制是否经过科学论证（0.5分）；</w:t>
            </w:r>
            <w:r>
              <w:rPr>
                <w:rStyle w:val="11"/>
                <w:lang w:val="en-US" w:eastAsia="zh-CN" w:bidi="ar"/>
              </w:rPr>
              <w:br w:type="textWrapping"/>
            </w:r>
            <w:r>
              <w:rPr>
                <w:rStyle w:val="11"/>
                <w:lang w:val="en-US" w:eastAsia="zh-CN" w:bidi="ar"/>
              </w:rPr>
              <w:t>②预算内容与项目内容是否匹配（0.5分）；</w:t>
            </w:r>
            <w:r>
              <w:rPr>
                <w:rStyle w:val="11"/>
                <w:lang w:val="en-US" w:eastAsia="zh-CN" w:bidi="ar"/>
              </w:rPr>
              <w:br w:type="textWrapping"/>
            </w:r>
            <w:r>
              <w:rPr>
                <w:rStyle w:val="11"/>
                <w:lang w:val="en-US" w:eastAsia="zh-CN" w:bidi="ar"/>
              </w:rPr>
              <w:t>③预算额度测算依据是否充分，是否按照标准编制（1分）；</w:t>
            </w:r>
            <w:r>
              <w:rPr>
                <w:rStyle w:val="11"/>
                <w:lang w:val="en-US" w:eastAsia="zh-CN" w:bidi="ar"/>
              </w:rPr>
              <w:br w:type="textWrapping"/>
            </w:r>
            <w:r>
              <w:rPr>
                <w:rStyle w:val="11"/>
                <w:lang w:val="en-US" w:eastAsia="zh-CN" w:bidi="ar"/>
              </w:rPr>
              <w:t>④预算确定的项目投资额或资金量是否与工作任务相匹配（1分）。</w:t>
            </w:r>
            <w:r>
              <w:rPr>
                <w:rStyle w:val="11"/>
                <w:lang w:val="en-US" w:eastAsia="zh-CN" w:bidi="ar"/>
              </w:rPr>
              <w:br w:type="textWrapping"/>
            </w:r>
            <w:r>
              <w:rPr>
                <w:rStyle w:val="12"/>
                <w:lang w:val="en-US" w:eastAsia="zh-CN" w:bidi="ar"/>
              </w:rPr>
              <w:t>评分标准：符合上述四点要求的，则按各项分值计算得分；不符合则按照各项分值扣分，扣完为止。</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符合得分要求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（15分）</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（11分）</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项目预算资金是否按照计划执行，用以反映或考核项目预算执行情况。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11"/>
                <w:lang w:val="en-US" w:eastAsia="zh-CN" w:bidi="ar"/>
              </w:rPr>
              <w:t>预算执行率=（实际支出资金/预算可执行资金）×100%。</w:t>
            </w:r>
            <w:r>
              <w:rPr>
                <w:rStyle w:val="11"/>
                <w:lang w:val="en-US" w:eastAsia="zh-CN" w:bidi="ar"/>
              </w:rPr>
              <w:br w:type="textWrapping"/>
            </w:r>
            <w:r>
              <w:rPr>
                <w:rStyle w:val="11"/>
                <w:lang w:val="en-US" w:eastAsia="zh-CN" w:bidi="ar"/>
              </w:rPr>
              <w:t>实际支出资金：一定时期（本年度或项目期）内项目实际支出的资金。</w:t>
            </w:r>
            <w:r>
              <w:rPr>
                <w:rStyle w:val="11"/>
                <w:lang w:val="en-US" w:eastAsia="zh-CN" w:bidi="ar"/>
              </w:rPr>
              <w:br w:type="textWrapping"/>
            </w:r>
            <w:r>
              <w:rPr>
                <w:rStyle w:val="11"/>
                <w:lang w:val="en-US" w:eastAsia="zh-CN" w:bidi="ar"/>
              </w:rPr>
              <w:t>预算可执行资金：一般公共财政预算的可执行资金为预算调整后的预算数，</w:t>
            </w:r>
            <w:r>
              <w:rPr>
                <w:rStyle w:val="13"/>
                <w:lang w:val="en-US" w:eastAsia="zh-CN" w:bidi="ar"/>
              </w:rPr>
              <w:t>年终未支出被财政清理收回的资金不得冲减调整后预算数</w:t>
            </w:r>
            <w:r>
              <w:rPr>
                <w:rStyle w:val="11"/>
                <w:lang w:val="en-US" w:eastAsia="zh-CN" w:bidi="ar"/>
              </w:rPr>
              <w:t>；政府性基金预算的可执行资金为财政实际下达的预算数，</w:t>
            </w:r>
            <w:r>
              <w:rPr>
                <w:rStyle w:val="13"/>
                <w:lang w:val="en-US" w:eastAsia="zh-CN" w:bidi="ar"/>
              </w:rPr>
              <w:t>年终未支出被财政清理收回的资金不得冲减财政实际下达预算数</w:t>
            </w:r>
            <w:r>
              <w:rPr>
                <w:rStyle w:val="11"/>
                <w:lang w:val="en-US" w:eastAsia="zh-CN" w:bidi="ar"/>
              </w:rPr>
              <w:t>。</w:t>
            </w:r>
            <w:r>
              <w:rPr>
                <w:rStyle w:val="11"/>
                <w:lang w:val="en-US" w:eastAsia="zh-CN" w:bidi="ar"/>
              </w:rPr>
              <w:br w:type="textWrapping"/>
            </w:r>
            <w:r>
              <w:rPr>
                <w:rStyle w:val="12"/>
                <w:lang w:val="en-US" w:eastAsia="zh-CN" w:bidi="ar"/>
              </w:rPr>
              <w:t>得分=预算执行率×8</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预算执行率</w:t>
            </w:r>
            <w:r>
              <w:rPr>
                <w:rFonts w:hint="eastAsia" w:ascii="宋体" w:hAnsi="宋体" w:eastAsia="宋体" w:cs="宋体"/>
                <w:i w:val="0"/>
                <w:iCs w:val="0"/>
                <w:color w:val="000000"/>
                <w:sz w:val="18"/>
                <w:szCs w:val="18"/>
                <w:u w:val="none"/>
                <w:lang w:val="en-US" w:eastAsia="zh-CN"/>
              </w:rPr>
              <w:t>90%，8*90%=7.2分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合规性</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项目资金使用是否符合相关的财务管理制度规定，用以反映和考核项目资金的规范运行情况。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11"/>
                <w:lang w:val="en-US" w:eastAsia="zh-CN" w:bidi="ar"/>
              </w:rPr>
              <w:t>评价要点：</w:t>
            </w:r>
            <w:r>
              <w:rPr>
                <w:rStyle w:val="11"/>
                <w:lang w:val="en-US" w:eastAsia="zh-CN" w:bidi="ar"/>
              </w:rPr>
              <w:br w:type="textWrapping"/>
            </w:r>
            <w:r>
              <w:rPr>
                <w:rStyle w:val="11"/>
                <w:lang w:val="en-US" w:eastAsia="zh-CN" w:bidi="ar"/>
              </w:rPr>
              <w:t>①是否符合国家财经法规和财务管理制度以及有关专项资金管理办法的规定（0.5分）；</w:t>
            </w:r>
            <w:r>
              <w:rPr>
                <w:rStyle w:val="11"/>
                <w:lang w:val="en-US" w:eastAsia="zh-CN" w:bidi="ar"/>
              </w:rPr>
              <w:br w:type="textWrapping"/>
            </w:r>
            <w:r>
              <w:rPr>
                <w:rStyle w:val="11"/>
                <w:lang w:val="en-US" w:eastAsia="zh-CN" w:bidi="ar"/>
              </w:rPr>
              <w:t>②资金的拨付是否有完整的审批程序和手续（0.5分）；</w:t>
            </w:r>
            <w:r>
              <w:rPr>
                <w:rStyle w:val="11"/>
                <w:lang w:val="en-US" w:eastAsia="zh-CN" w:bidi="ar"/>
              </w:rPr>
              <w:br w:type="textWrapping"/>
            </w:r>
            <w:r>
              <w:rPr>
                <w:rStyle w:val="11"/>
                <w:lang w:val="en-US" w:eastAsia="zh-CN" w:bidi="ar"/>
              </w:rPr>
              <w:t>③是否符合项目预算批复或合同规定的用途（1分）；</w:t>
            </w:r>
            <w:r>
              <w:rPr>
                <w:rStyle w:val="11"/>
                <w:lang w:val="en-US" w:eastAsia="zh-CN" w:bidi="ar"/>
              </w:rPr>
              <w:br w:type="textWrapping"/>
            </w:r>
            <w:r>
              <w:rPr>
                <w:rStyle w:val="11"/>
                <w:lang w:val="en-US" w:eastAsia="zh-CN" w:bidi="ar"/>
              </w:rPr>
              <w:t>④是否存在截留、挤占、挪用、虚列支出等情况（1分）。</w:t>
            </w:r>
            <w:r>
              <w:rPr>
                <w:rStyle w:val="11"/>
                <w:lang w:val="en-US" w:eastAsia="zh-CN" w:bidi="ar"/>
              </w:rPr>
              <w:br w:type="textWrapping"/>
            </w:r>
            <w:r>
              <w:rPr>
                <w:rStyle w:val="12"/>
                <w:lang w:val="en-US" w:eastAsia="zh-CN" w:bidi="ar"/>
              </w:rPr>
              <w:t>评分标准：符合上述四点要求的，则按各项分值计算得分；不符合则按照各项分值扣分，扣完为止。</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符合得分要求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健全性</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项目实施单位的财务和业务管理制度是否健全，用以反映和考核财务和业务管理制度对项目顺利实施的保障情况。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11"/>
                <w:lang w:val="en-US" w:eastAsia="zh-CN" w:bidi="ar"/>
              </w:rPr>
              <w:t>评价要点：</w:t>
            </w:r>
            <w:r>
              <w:rPr>
                <w:rStyle w:val="11"/>
                <w:lang w:val="en-US" w:eastAsia="zh-CN" w:bidi="ar"/>
              </w:rPr>
              <w:br w:type="textWrapping"/>
            </w:r>
            <w:r>
              <w:rPr>
                <w:rStyle w:val="11"/>
                <w:lang w:val="en-US" w:eastAsia="zh-CN" w:bidi="ar"/>
              </w:rPr>
              <w:t>①是否已制定或具有相应的财务和业务管理制度（1分）；</w:t>
            </w:r>
            <w:r>
              <w:rPr>
                <w:rStyle w:val="11"/>
                <w:lang w:val="en-US" w:eastAsia="zh-CN" w:bidi="ar"/>
              </w:rPr>
              <w:br w:type="textWrapping"/>
            </w:r>
            <w:r>
              <w:rPr>
                <w:rStyle w:val="11"/>
                <w:lang w:val="en-US" w:eastAsia="zh-CN" w:bidi="ar"/>
              </w:rPr>
              <w:t>②财务和业务管理制度是否合法、合规、完整（1分）。</w:t>
            </w:r>
            <w:r>
              <w:rPr>
                <w:rStyle w:val="11"/>
                <w:lang w:val="en-US" w:eastAsia="zh-CN" w:bidi="ar"/>
              </w:rPr>
              <w:br w:type="textWrapping"/>
            </w:r>
            <w:r>
              <w:rPr>
                <w:rStyle w:val="12"/>
                <w:lang w:val="en-US" w:eastAsia="zh-CN" w:bidi="ar"/>
              </w:rPr>
              <w:t>评分标准：符合上述两点要求的，则按各项分值计算得分；不符合则按照各项分值扣分，扣完为止。</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符合得分要求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有效性</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项目实施是否符合相关管理规定，用以反映和考核相关管理制度的有效执行情况。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11"/>
                <w:lang w:val="en-US" w:eastAsia="zh-CN" w:bidi="ar"/>
              </w:rPr>
              <w:t>评价要点：</w:t>
            </w:r>
            <w:r>
              <w:rPr>
                <w:rStyle w:val="11"/>
                <w:lang w:val="en-US" w:eastAsia="zh-CN" w:bidi="ar"/>
              </w:rPr>
              <w:br w:type="textWrapping"/>
            </w:r>
            <w:r>
              <w:rPr>
                <w:rStyle w:val="11"/>
                <w:lang w:val="en-US" w:eastAsia="zh-CN" w:bidi="ar"/>
              </w:rPr>
              <w:t>①是否遵守相关法律法规和相关管理规定（0.5分）；</w:t>
            </w:r>
            <w:r>
              <w:rPr>
                <w:rStyle w:val="11"/>
                <w:lang w:val="en-US" w:eastAsia="zh-CN" w:bidi="ar"/>
              </w:rPr>
              <w:br w:type="textWrapping"/>
            </w:r>
            <w:r>
              <w:rPr>
                <w:rStyle w:val="11"/>
                <w:lang w:val="en-US" w:eastAsia="zh-CN" w:bidi="ar"/>
              </w:rPr>
              <w:t>②项目调整及支出调整手续是否完备（0.5分）；</w:t>
            </w:r>
            <w:r>
              <w:rPr>
                <w:rStyle w:val="11"/>
                <w:lang w:val="en-US" w:eastAsia="zh-CN" w:bidi="ar"/>
              </w:rPr>
              <w:br w:type="textWrapping"/>
            </w:r>
            <w:r>
              <w:rPr>
                <w:rStyle w:val="11"/>
                <w:lang w:val="en-US" w:eastAsia="zh-CN" w:bidi="ar"/>
              </w:rPr>
              <w:t>③项目合同书、验收报告、技术鉴定等资料是否齐全并及时归档（0.5分）；</w:t>
            </w:r>
            <w:r>
              <w:rPr>
                <w:rStyle w:val="11"/>
                <w:lang w:val="en-US" w:eastAsia="zh-CN" w:bidi="ar"/>
              </w:rPr>
              <w:br w:type="textWrapping"/>
            </w:r>
            <w:r>
              <w:rPr>
                <w:rStyle w:val="11"/>
                <w:lang w:val="en-US" w:eastAsia="zh-CN" w:bidi="ar"/>
              </w:rPr>
              <w:t>④项目实施的人员条件、场地设备、信息支撑等是否落实到位（0.5分）。</w:t>
            </w:r>
            <w:r>
              <w:rPr>
                <w:rStyle w:val="11"/>
                <w:lang w:val="en-US" w:eastAsia="zh-CN" w:bidi="ar"/>
              </w:rPr>
              <w:br w:type="textWrapping"/>
            </w:r>
            <w:r>
              <w:rPr>
                <w:rStyle w:val="12"/>
                <w:lang w:val="en-US" w:eastAsia="zh-CN" w:bidi="ar"/>
              </w:rPr>
              <w:t>评分标准：符合上述四点要求的，则按各项分值计算得分；不符合则按照各项分值扣分，扣完为止。</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符合得分要求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（30分）</w:t>
            </w:r>
          </w:p>
        </w:tc>
        <w:tc>
          <w:tcPr>
            <w:tcW w:w="937"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产出数量</w:t>
            </w: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专利授权量</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当年度专利授权量的情况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通过专利受权量900件得1分，满意5分。</w:t>
            </w:r>
            <w:bookmarkStart w:id="0" w:name="_GoBack"/>
            <w:bookmarkEnd w:id="0"/>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本年授权量5264，得满分。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7" w:type="dxa"/>
            <w:vMerge w:val="continue"/>
            <w:tcBorders>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知识产权管理规范认证</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当年度知识产权管理规范认证的情况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每增加认证2家知识产权管理规范认证得1分，加到5分为止。</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本年共10家获知识产权管理规范认证。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7" w:type="dxa"/>
            <w:vMerge w:val="continue"/>
            <w:tcBorders>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知识产权公共服务平台</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反映当年获批知识产权公共服务平台的情况。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每获批一个知识产权公共服务平台1个得2.5分。</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本年共获批2个知识产权公共服务平台。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7" w:type="dxa"/>
            <w:vMerge w:val="restart"/>
            <w:tcBorders>
              <w:top w:val="nil"/>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产出质量</w:t>
            </w: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资助授权发明专利量</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反映当年度资助授权发明专利量的情况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资助授权发明专利120家得满分，不20家扣1分，扣完为止。</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共资助授权发明专利122家。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7"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发明专利授权量</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当年度发明专利授权量的情况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发明专利授权量达到250件得5分，每少50件扣1分，扣完为止。</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本年发明专利授权量达352件。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产出成本</w:t>
            </w: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每件发明专利市级资助额</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反映每件发明专利市级资助的情况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根据闽知规【2015】28号文规定，国内授权发明专利资助5000元，市里按比例30%资助，限一件资助1500元，得2分，资助手续完整得3分</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符合规定得满分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（40分）</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项目效益</w:t>
            </w: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参训人</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反映参加“莆田市企业知识产权实务班”的情况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组织市场监管系统人员、企业知识产权专员等参加“莆田市企业知识产权实务班”，参训人员每10分加2分，加满10分为止。</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共有参训人员61号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7" w:type="dxa"/>
            <w:vMerge w:val="continue"/>
            <w:tcBorders>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全市万人发明专利拥有量</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反映全市万人发明专利拥有量的情况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万人发明专利拥有量0.5加一分，加满10分为止。</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截至11月底，全市每万人口发明专利拥有量4.212件。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7" w:type="dxa"/>
            <w:vMerge w:val="continue"/>
            <w:tcBorders>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福建省知识产权优质企业</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反映当年度获得福建省知识产权优质企业的情况</w:t>
            </w:r>
          </w:p>
        </w:tc>
        <w:tc>
          <w:tcPr>
            <w:tcW w:w="24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每获得一家省知识产权优质企业得2.5分，加满10为止。</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推荐4家企业获评省知识产权优势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受益人员满意度</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受益人员满意率=抽样调查满意的受益对象/受益对象总抽样调查人数×100</w:t>
            </w:r>
          </w:p>
        </w:tc>
        <w:tc>
          <w:tcPr>
            <w:tcW w:w="24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资助企业满意度达100%得满10分，满意度95-99得9分，以此类推，扣完为止 </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受益人员满意度达100%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8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    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（90（含）-100分为优、80（含）-90分为良、60（含）-80分为中、60分以下为差）</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97.4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p>
        </w:tc>
      </w:tr>
    </w:tbl>
    <w:p>
      <w:pPr>
        <w:pStyle w:val="2"/>
        <w:rPr>
          <w:rFonts w:hint="default"/>
          <w:lang w:val="en-US" w:eastAsia="zh-CN"/>
        </w:rPr>
      </w:pPr>
    </w:p>
    <w:p>
      <w:pPr>
        <w:pStyle w:val="8"/>
      </w:pPr>
    </w:p>
    <w:p>
      <w:pPr>
        <w:pStyle w:val="8"/>
      </w:pPr>
    </w:p>
    <w:p>
      <w:pPr>
        <w:spacing w:line="600" w:lineRule="exact"/>
        <w:ind w:firstLine="560" w:firstLineChars="200"/>
        <w:rPr>
          <w:rFonts w:hint="eastAsia" w:ascii="仿宋_GB2312"/>
          <w:sz w:val="28"/>
          <w:szCs w:val="28"/>
        </w:rPr>
      </w:pPr>
      <w:r>
        <w:rPr>
          <w:rFonts w:hint="eastAsia" w:ascii="仿宋_GB2312"/>
          <w:sz w:val="28"/>
          <w:szCs w:val="28"/>
        </w:rPr>
        <w:t>（</w:t>
      </w:r>
      <w:r>
        <w:rPr>
          <w:rFonts w:hint="eastAsia" w:ascii="仿宋_GB2312"/>
          <w:sz w:val="28"/>
          <w:szCs w:val="28"/>
          <w:lang w:eastAsia="zh-CN"/>
        </w:rPr>
        <w:t>二</w:t>
      </w:r>
      <w:r>
        <w:rPr>
          <w:rFonts w:hint="eastAsia" w:ascii="仿宋_GB2312"/>
          <w:sz w:val="28"/>
          <w:szCs w:val="28"/>
        </w:rPr>
        <w:t>）绩效评价工作过程</w:t>
      </w:r>
    </w:p>
    <w:p>
      <w:pPr>
        <w:spacing w:line="600" w:lineRule="exact"/>
        <w:ind w:firstLine="560" w:firstLineChars="200"/>
        <w:rPr>
          <w:rFonts w:hint="eastAsia" w:ascii="仿宋_GB2312"/>
          <w:sz w:val="28"/>
          <w:szCs w:val="28"/>
          <w:lang w:eastAsia="zh-CN"/>
        </w:rPr>
      </w:pPr>
      <w:r>
        <w:rPr>
          <w:rFonts w:hint="eastAsia" w:ascii="仿宋_GB2312"/>
          <w:sz w:val="28"/>
          <w:szCs w:val="28"/>
          <w:lang w:eastAsia="zh-CN"/>
        </w:rPr>
        <w:t>（部门组织评价小组开展评价工作的，需在本部分内容中说明小组成员构成情况）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本次</w:t>
      </w:r>
      <w:r>
        <w:rPr>
          <w:rFonts w:hint="eastAsia" w:ascii="仿宋_GB2312" w:hAnsi="仿宋_GB2312" w:eastAsia="仿宋_GB2312" w:cs="仿宋_GB2312"/>
          <w:sz w:val="30"/>
          <w:szCs w:val="30"/>
          <w:lang w:val="en-US" w:eastAsia="zh-CN"/>
        </w:rPr>
        <w:t>科普专项经费</w:t>
      </w:r>
      <w:r>
        <w:rPr>
          <w:rFonts w:hint="eastAsia" w:ascii="仿宋_GB2312" w:hAnsi="仿宋_GB2312" w:eastAsia="仿宋_GB2312" w:cs="仿宋_GB2312"/>
          <w:sz w:val="30"/>
          <w:szCs w:val="30"/>
        </w:rPr>
        <w:t>绩效评价主要采用比较法、效益分析法、</w:t>
      </w:r>
      <w:r>
        <w:rPr>
          <w:rFonts w:hint="eastAsia" w:ascii="仿宋_GB2312" w:hAnsi="仿宋_GB2312" w:eastAsia="仿宋_GB2312" w:cs="仿宋_GB2312"/>
          <w:sz w:val="30"/>
          <w:szCs w:val="30"/>
          <w:lang w:val="en-US" w:eastAsia="zh-CN"/>
        </w:rPr>
        <w:t>服务对象</w:t>
      </w:r>
      <w:r>
        <w:rPr>
          <w:rFonts w:hint="eastAsia" w:ascii="仿宋_GB2312" w:hAnsi="仿宋_GB2312" w:eastAsia="仿宋_GB2312" w:cs="仿宋_GB2312"/>
          <w:sz w:val="30"/>
          <w:szCs w:val="30"/>
        </w:rPr>
        <w:t>评判法等。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比较法。是指通过实际支出、实施效果等与绩效目标、不同地区同类支出等的比较，综合分析绩效目标实现程度。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效益分析法。是指将一定时期内的支出与效益进行对比分析，以评价绩效目标实现程度。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服务对象评判法。是指通过对服务对象进行问卷及抽样调查等对财政支出的效果进行评判，评价绩效目标实现程度。</w:t>
      </w: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right="0" w:rightChars="0" w:firstLine="602" w:firstLineChars="200"/>
        <w:jc w:val="both"/>
        <w:textAlignment w:val="auto"/>
        <w:outlineLvl w:val="1"/>
        <w:rPr>
          <w:rFonts w:hint="eastAsia" w:ascii="仿宋_GB2312" w:hAnsi="仿宋_GB2312" w:eastAsia="仿宋_GB2312" w:cs="仿宋_GB2312"/>
          <w:b/>
          <w:bCs w:val="0"/>
          <w:kern w:val="0"/>
          <w:sz w:val="30"/>
          <w:szCs w:val="30"/>
          <w:lang w:val="en-US" w:eastAsia="zh-CN" w:bidi="ar"/>
        </w:rPr>
      </w:pPr>
      <w:r>
        <w:rPr>
          <w:rFonts w:hint="eastAsia" w:ascii="仿宋_GB2312" w:hAnsi="仿宋_GB2312" w:eastAsia="仿宋_GB2312" w:cs="仿宋_GB2312"/>
          <w:b/>
          <w:bCs w:val="0"/>
          <w:kern w:val="0"/>
          <w:sz w:val="30"/>
          <w:szCs w:val="30"/>
          <w:lang w:val="en-US" w:eastAsia="zh-CN" w:bidi="ar"/>
        </w:rPr>
        <w:t>4、</w:t>
      </w:r>
      <w:r>
        <w:rPr>
          <w:rFonts w:hint="eastAsia" w:ascii="仿宋_GB2312" w:hAnsi="仿宋_GB2312" w:eastAsia="仿宋_GB2312" w:cs="仿宋_GB2312"/>
          <w:b/>
          <w:bCs w:val="0"/>
          <w:kern w:val="0"/>
          <w:sz w:val="30"/>
          <w:szCs w:val="30"/>
          <w:lang w:bidi="ar"/>
        </w:rPr>
        <w:t>绩效评价</w:t>
      </w:r>
      <w:r>
        <w:rPr>
          <w:rFonts w:hint="eastAsia" w:ascii="仿宋_GB2312" w:hAnsi="仿宋_GB2312" w:eastAsia="仿宋_GB2312" w:cs="仿宋_GB2312"/>
          <w:b/>
          <w:bCs w:val="0"/>
          <w:kern w:val="0"/>
          <w:sz w:val="30"/>
          <w:szCs w:val="30"/>
          <w:lang w:val="en-US" w:eastAsia="zh-CN" w:bidi="ar"/>
        </w:rPr>
        <w:t>标准的确定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绩效评价标准是衡量财政支出绩效目标完成程度的尺度，对</w:t>
      </w:r>
      <w:r>
        <w:rPr>
          <w:rFonts w:hint="eastAsia" w:ascii="仿宋_GB2312" w:hAnsi="仿宋_GB2312" w:eastAsia="仿宋_GB2312" w:cs="仿宋_GB2312"/>
          <w:sz w:val="30"/>
          <w:szCs w:val="30"/>
          <w:lang w:val="en-US" w:eastAsia="zh-CN"/>
        </w:rPr>
        <w:t>专利申请资助经费</w:t>
      </w:r>
      <w:r>
        <w:rPr>
          <w:rFonts w:hint="eastAsia" w:ascii="仿宋_GB2312" w:hAnsi="仿宋_GB2312" w:cs="仿宋_GB2312"/>
          <w:sz w:val="30"/>
          <w:szCs w:val="30"/>
          <w:lang w:val="en-US" w:eastAsia="zh-CN"/>
        </w:rPr>
        <w:t>项目</w:t>
      </w:r>
      <w:r>
        <w:rPr>
          <w:rFonts w:hint="eastAsia" w:ascii="仿宋_GB2312" w:hAnsi="仿宋_GB2312" w:eastAsia="仿宋_GB2312" w:cs="仿宋_GB2312"/>
          <w:sz w:val="30"/>
          <w:szCs w:val="30"/>
        </w:rPr>
        <w:t>绩效评价采用的标准主要包括：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计划标准。是指以预先制定的目标、计划、预算、定额等数据作为评价的标准。本次</w:t>
      </w:r>
      <w:r>
        <w:rPr>
          <w:rFonts w:hint="eastAsia" w:ascii="仿宋_GB2312" w:hAnsi="仿宋_GB2312" w:eastAsia="仿宋_GB2312" w:cs="仿宋_GB2312"/>
          <w:sz w:val="30"/>
          <w:szCs w:val="30"/>
          <w:lang w:val="en-US" w:eastAsia="zh-CN"/>
        </w:rPr>
        <w:t>科普专项经费</w:t>
      </w:r>
      <w:r>
        <w:rPr>
          <w:rFonts w:hint="eastAsia" w:ascii="仿宋_GB2312" w:hAnsi="仿宋_GB2312" w:eastAsia="仿宋_GB2312" w:cs="仿宋_GB2312"/>
          <w:sz w:val="30"/>
          <w:szCs w:val="30"/>
        </w:rPr>
        <w:t>绩效评价有不少指标是以</w:t>
      </w:r>
      <w:r>
        <w:rPr>
          <w:rFonts w:hint="eastAsia" w:ascii="仿宋_GB2312" w:hAnsi="仿宋_GB2312" w:eastAsia="仿宋_GB2312" w:cs="仿宋_GB2312"/>
          <w:sz w:val="30"/>
          <w:szCs w:val="30"/>
          <w:lang w:val="en-US" w:eastAsia="zh-CN"/>
        </w:rPr>
        <w:t>年度绩效目标</w:t>
      </w:r>
      <w:r>
        <w:rPr>
          <w:rFonts w:hint="eastAsia" w:ascii="仿宋_GB2312" w:hAnsi="仿宋_GB2312" w:eastAsia="仿宋_GB2312" w:cs="仿宋_GB2312"/>
          <w:sz w:val="30"/>
          <w:szCs w:val="30"/>
        </w:rPr>
        <w:t>作为参照基准的。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行业标准。是指参照各级政府机关评价</w:t>
      </w:r>
      <w:r>
        <w:rPr>
          <w:rFonts w:hint="eastAsia" w:ascii="仿宋_GB2312" w:hAnsi="仿宋_GB2312" w:eastAsia="仿宋_GB2312" w:cs="仿宋_GB2312"/>
          <w:sz w:val="30"/>
          <w:szCs w:val="30"/>
          <w:lang w:val="en-US" w:eastAsia="zh-CN"/>
        </w:rPr>
        <w:t>财政专项经费</w:t>
      </w:r>
      <w:r>
        <w:rPr>
          <w:rFonts w:hint="eastAsia" w:ascii="仿宋_GB2312" w:hAnsi="仿宋_GB2312" w:eastAsia="仿宋_GB2312" w:cs="仿宋_GB2312"/>
          <w:sz w:val="30"/>
          <w:szCs w:val="30"/>
        </w:rPr>
        <w:t>所采用的指标数据而制定相应的评价标准。</w:t>
      </w:r>
    </w:p>
    <w:p>
      <w:pPr>
        <w:pageBreakBefore w:val="0"/>
        <w:widowControl w:val="0"/>
        <w:numPr>
          <w:ilvl w:val="0"/>
          <w:numId w:val="0"/>
        </w:numPr>
        <w:kinsoku/>
        <w:wordWrap/>
        <w:overflowPunct/>
        <w:topLinePunct w:val="0"/>
        <w:autoSpaceDE/>
        <w:autoSpaceDN/>
        <w:bidi w:val="0"/>
        <w:adjustRightInd/>
        <w:snapToGrid/>
        <w:spacing w:line="440" w:lineRule="exact"/>
        <w:ind w:right="0" w:rightChars="0" w:firstLine="602" w:firstLineChars="200"/>
        <w:jc w:val="both"/>
        <w:textAlignment w:val="auto"/>
        <w:rPr>
          <w:rFonts w:hint="eastAsia" w:ascii="仿宋_GB2312" w:hAnsi="仿宋_GB2312" w:eastAsia="仿宋_GB2312" w:cs="仿宋_GB2312"/>
          <w:b/>
          <w:bCs/>
          <w:kern w:val="0"/>
          <w:sz w:val="30"/>
          <w:szCs w:val="30"/>
          <w:lang w:val="en-US" w:eastAsia="zh-CN"/>
        </w:rPr>
      </w:pPr>
      <w:r>
        <w:rPr>
          <w:rFonts w:hint="eastAsia" w:ascii="仿宋_GB2312" w:hAnsi="仿宋_GB2312" w:eastAsia="仿宋_GB2312" w:cs="仿宋_GB2312"/>
          <w:b/>
          <w:bCs/>
          <w:kern w:val="0"/>
          <w:sz w:val="30"/>
          <w:szCs w:val="30"/>
          <w:lang w:val="en-US" w:eastAsia="zh-CN"/>
        </w:rPr>
        <w:t>（三）绩效评价工作过程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75"/>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1、前期准备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75"/>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2022年2月，开始前期准备工作，评价组通过对评价对象前期调研，确定了评价的目的、方法以及评价的原则，根据项目的内容和特征制定了评价指标体系及评价标准以及评价实施方案，多次与各部室及直属事业单位沟通征求修改意见，细化个性指标，修正并确定所需资料清单、效益调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75"/>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2、组织实施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75"/>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2022年3月初，评价工作进入实施阶段。在数据采集方面，评价组在完成了基础数据收集，对服务对象开展了全面走访和调查，进行数据采集。在效益及满意度调查方面，评价组先后到各企业中进行实地走访和调查，广泛听取意见和建议，共收集有效调查问卷50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75"/>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3、分析评价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75"/>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2022年3月，评价组按照绩效评价的原则和规范，对取得的资料进行审查核实，对采集的数据进行分析，按照绩效评价指标评分表逐项进行打分、分析，汇总各方评价结果，综合分析并形成评价结论。</w:t>
      </w:r>
    </w:p>
    <w:p>
      <w:pPr>
        <w:pageBreakBefore w:val="0"/>
        <w:widowControl w:val="0"/>
        <w:tabs>
          <w:tab w:val="left" w:pos="1560"/>
        </w:tabs>
        <w:kinsoku/>
        <w:wordWrap/>
        <w:overflowPunct/>
        <w:topLinePunct w:val="0"/>
        <w:autoSpaceDE/>
        <w:autoSpaceDN/>
        <w:bidi w:val="0"/>
        <w:adjustRightInd/>
        <w:snapToGrid/>
        <w:spacing w:line="440" w:lineRule="exact"/>
        <w:ind w:left="0" w:leftChars="0" w:right="0" w:rightChars="0" w:firstLine="600"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本次绩效评价工作所采用的数据收集方法主要包括：</w:t>
      </w:r>
    </w:p>
    <w:p>
      <w:pPr>
        <w:pageBreakBefore w:val="0"/>
        <w:widowControl w:val="0"/>
        <w:tabs>
          <w:tab w:val="left" w:pos="1560"/>
        </w:tabs>
        <w:kinsoku/>
        <w:wordWrap/>
        <w:overflowPunct/>
        <w:topLinePunct w:val="0"/>
        <w:autoSpaceDE/>
        <w:autoSpaceDN/>
        <w:bidi w:val="0"/>
        <w:adjustRightInd/>
        <w:snapToGrid/>
        <w:spacing w:line="440" w:lineRule="exact"/>
        <w:ind w:left="0" w:leftChars="0" w:right="0" w:rightChars="0" w:firstLine="600"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第一、访谈法。对各明细项目涉及到的主管部门、项目实施单位，如各部室、等开展座谈，了解项目实施情况；</w:t>
      </w:r>
    </w:p>
    <w:p>
      <w:pPr>
        <w:pageBreakBefore w:val="0"/>
        <w:widowControl w:val="0"/>
        <w:tabs>
          <w:tab w:val="left" w:pos="1560"/>
        </w:tabs>
        <w:kinsoku/>
        <w:wordWrap/>
        <w:overflowPunct/>
        <w:topLinePunct w:val="0"/>
        <w:autoSpaceDE/>
        <w:autoSpaceDN/>
        <w:bidi w:val="0"/>
        <w:adjustRightInd/>
        <w:snapToGrid/>
        <w:spacing w:line="440" w:lineRule="exact"/>
        <w:ind w:left="0" w:leftChars="0" w:right="0" w:rightChars="0" w:firstLine="600"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第二、问卷调查法。根据调查方案的要求，对抽中的调查对象，通过现场发放调查问卷和电话辅助调查两种方式获取原始资料，对受益对象满意度等内容进行调查；</w:t>
      </w:r>
    </w:p>
    <w:p>
      <w:pPr>
        <w:pageBreakBefore w:val="0"/>
        <w:widowControl w:val="0"/>
        <w:tabs>
          <w:tab w:val="left" w:pos="1560"/>
        </w:tabs>
        <w:kinsoku/>
        <w:wordWrap/>
        <w:overflowPunct/>
        <w:topLinePunct w:val="0"/>
        <w:autoSpaceDE/>
        <w:autoSpaceDN/>
        <w:bidi w:val="0"/>
        <w:adjustRightInd/>
        <w:snapToGrid/>
        <w:spacing w:line="440" w:lineRule="exact"/>
        <w:ind w:left="0" w:leftChars="0" w:right="0" w:rightChars="0" w:firstLine="600"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第三、现场勘察法。评价工作组成员到达项目现场，通过现场观察、询问等方式对项目实施情况进行评价；</w:t>
      </w:r>
    </w:p>
    <w:p>
      <w:pPr>
        <w:pStyle w:val="2"/>
        <w:rPr>
          <w:rFonts w:hint="eastAsia"/>
          <w:lang w:eastAsia="zh-CN"/>
        </w:rPr>
      </w:pPr>
    </w:p>
    <w:p>
      <w:pPr>
        <w:spacing w:line="600" w:lineRule="exact"/>
        <w:ind w:firstLine="560" w:firstLineChars="200"/>
        <w:rPr>
          <w:rFonts w:hint="eastAsia" w:ascii="仿宋_GB2312"/>
          <w:sz w:val="28"/>
          <w:szCs w:val="28"/>
        </w:rPr>
      </w:pPr>
      <w:r>
        <w:rPr>
          <w:rFonts w:hint="eastAsia" w:ascii="黑体" w:hAnsi="黑体" w:eastAsia="黑体"/>
          <w:sz w:val="28"/>
          <w:szCs w:val="28"/>
        </w:rPr>
        <w:t>三、综合评价情况及评价结论</w:t>
      </w:r>
      <w:r>
        <w:rPr>
          <w:rFonts w:hint="eastAsia" w:ascii="仿宋_GB2312"/>
          <w:sz w:val="28"/>
          <w:szCs w:val="28"/>
        </w:rPr>
        <w:t>（附相关评分表）</w:t>
      </w:r>
    </w:p>
    <w:p>
      <w:pPr>
        <w:spacing w:line="600" w:lineRule="exact"/>
        <w:ind w:firstLine="560" w:firstLineChars="200"/>
        <w:rPr>
          <w:rFonts w:hint="eastAsia" w:ascii="仿宋_GB2312"/>
          <w:sz w:val="28"/>
          <w:szCs w:val="28"/>
          <w:lang w:val="en-US" w:eastAsia="zh-CN"/>
        </w:rPr>
      </w:pPr>
      <w:r>
        <w:rPr>
          <w:rFonts w:hint="eastAsia" w:ascii="仿宋_GB2312"/>
          <w:sz w:val="28"/>
          <w:szCs w:val="28"/>
          <w:lang w:eastAsia="zh-CN"/>
        </w:rPr>
        <w:t>（</w:t>
      </w:r>
      <w:r>
        <w:rPr>
          <w:rFonts w:hint="eastAsia" w:ascii="仿宋_GB2312"/>
          <w:sz w:val="28"/>
          <w:szCs w:val="28"/>
          <w:lang w:val="en-US" w:eastAsia="zh-CN"/>
        </w:rPr>
        <w:t>一</w:t>
      </w:r>
      <w:r>
        <w:rPr>
          <w:rFonts w:hint="eastAsia" w:ascii="仿宋_GB2312"/>
          <w:sz w:val="28"/>
          <w:szCs w:val="28"/>
          <w:lang w:eastAsia="zh-CN"/>
        </w:rPr>
        <w:t>）</w:t>
      </w:r>
      <w:r>
        <w:rPr>
          <w:rFonts w:hint="eastAsia" w:ascii="仿宋_GB2312"/>
          <w:sz w:val="28"/>
          <w:szCs w:val="28"/>
          <w:lang w:val="en-US" w:eastAsia="zh-CN"/>
        </w:rPr>
        <w:t>评价结论</w:t>
      </w:r>
    </w:p>
    <w:p>
      <w:pPr>
        <w:spacing w:line="600" w:lineRule="exact"/>
        <w:ind w:firstLine="560" w:firstLineChars="200"/>
        <w:rPr>
          <w:rFonts w:hint="eastAsia" w:ascii="仿宋_GB2312"/>
          <w:sz w:val="28"/>
          <w:szCs w:val="28"/>
          <w:lang w:val="en-US" w:eastAsia="zh-CN"/>
        </w:rPr>
      </w:pPr>
      <w:r>
        <w:rPr>
          <w:rFonts w:hint="eastAsia" w:ascii="仿宋_GB2312"/>
          <w:sz w:val="28"/>
          <w:szCs w:val="28"/>
          <w:lang w:val="en-US" w:eastAsia="zh-CN"/>
        </w:rPr>
        <w:t>2021年专利申请资助经费项目根据部门评价涉及的评价指标体系，采用访谈法、</w:t>
      </w:r>
      <w:r>
        <w:rPr>
          <w:rFonts w:hint="eastAsia" w:ascii="仿宋_GB2312" w:hAnsi="仿宋_GB2312" w:eastAsia="仿宋_GB2312" w:cs="仿宋_GB2312"/>
          <w:color w:val="000000"/>
          <w:kern w:val="2"/>
          <w:sz w:val="30"/>
          <w:szCs w:val="30"/>
          <w:lang w:val="en-US" w:eastAsia="zh-CN" w:bidi="ar-SA"/>
        </w:rPr>
        <w:t>现场勘察法</w:t>
      </w:r>
      <w:r>
        <w:rPr>
          <w:rFonts w:hint="eastAsia" w:ascii="仿宋_GB2312"/>
          <w:sz w:val="28"/>
          <w:szCs w:val="28"/>
          <w:lang w:val="en-US" w:eastAsia="zh-CN"/>
        </w:rPr>
        <w:t>等方法开展绩效评价，评价得分97.4分，评价等级为优秀等次。</w:t>
      </w:r>
    </w:p>
    <w:p>
      <w:pPr>
        <w:spacing w:line="600" w:lineRule="exact"/>
        <w:ind w:firstLine="560" w:firstLineChars="200"/>
        <w:rPr>
          <w:rFonts w:hint="eastAsia" w:ascii="仿宋_GB2312"/>
          <w:sz w:val="28"/>
          <w:szCs w:val="28"/>
          <w:lang w:val="en-US" w:eastAsia="zh-CN"/>
        </w:rPr>
      </w:pPr>
      <w:r>
        <w:rPr>
          <w:rFonts w:hint="eastAsia" w:ascii="仿宋_GB2312"/>
          <w:sz w:val="28"/>
          <w:szCs w:val="28"/>
          <w:lang w:val="en-US" w:eastAsia="zh-CN"/>
        </w:rPr>
        <w:t>（评价过程自行完善，现场勘验、检查、核实的情况，并附上评分表）</w:t>
      </w:r>
    </w:p>
    <w:p>
      <w:pPr>
        <w:spacing w:line="600" w:lineRule="exact"/>
        <w:ind w:firstLine="560" w:firstLineChars="200"/>
        <w:rPr>
          <w:rFonts w:hint="eastAsia" w:ascii="仿宋_GB2312"/>
          <w:sz w:val="28"/>
          <w:szCs w:val="28"/>
          <w:lang w:val="en-US" w:eastAsia="zh-CN"/>
        </w:rPr>
      </w:pPr>
      <w:r>
        <w:rPr>
          <w:rFonts w:hint="eastAsia" w:ascii="仿宋_GB2312"/>
          <w:sz w:val="28"/>
          <w:szCs w:val="28"/>
          <w:lang w:val="en-US" w:eastAsia="zh-CN"/>
        </w:rPr>
        <w:t>（二）主要绩效</w:t>
      </w:r>
    </w:p>
    <w:p>
      <w:pPr>
        <w:spacing w:line="600" w:lineRule="exact"/>
        <w:ind w:firstLine="560" w:firstLineChars="200"/>
        <w:rPr>
          <w:rFonts w:hint="eastAsia" w:ascii="仿宋_GB2312"/>
          <w:sz w:val="28"/>
          <w:szCs w:val="28"/>
          <w:lang w:val="en-US" w:eastAsia="zh-CN"/>
        </w:rPr>
      </w:pPr>
      <w:r>
        <w:rPr>
          <w:rFonts w:hint="eastAsia" w:ascii="仿宋_GB2312"/>
          <w:sz w:val="28"/>
          <w:szCs w:val="28"/>
          <w:lang w:val="en-US" w:eastAsia="zh-CN"/>
        </w:rPr>
        <w:t>（重点描述项目批复的绩效目标中的量化指标完成情况，需要逐一分析年初的量化目标情况，并描述年初绩效目标中涉及的经济社会效益、环境效益、可持续影响等效益指标的完成情况，下文是基于目标完成或超额完成的情景，完成情况有“基本完成”“完成”“超额完成”“未完成”等，请部门根据实际情况填写）</w:t>
      </w:r>
    </w:p>
    <w:p>
      <w:pPr>
        <w:spacing w:line="600" w:lineRule="exact"/>
        <w:ind w:firstLine="560" w:firstLineChars="200"/>
        <w:rPr>
          <w:rFonts w:hint="eastAsia" w:ascii="仿宋_GB2312"/>
          <w:sz w:val="28"/>
          <w:szCs w:val="28"/>
          <w:lang w:val="en-US" w:eastAsia="zh-CN"/>
        </w:rPr>
      </w:pPr>
      <w:r>
        <w:rPr>
          <w:rFonts w:hint="eastAsia" w:ascii="仿宋_GB2312"/>
          <w:sz w:val="28"/>
          <w:szCs w:val="28"/>
          <w:lang w:val="en-US" w:eastAsia="zh-CN"/>
        </w:rPr>
        <w:t>经评价核验，2021年专利申请资助经费项目的年度绩效目标全部完成，部分指标超额完成，具体如下：</w:t>
      </w:r>
    </w:p>
    <w:p>
      <w:pPr>
        <w:spacing w:line="600" w:lineRule="exact"/>
        <w:ind w:firstLine="560" w:firstLineChars="200"/>
        <w:rPr>
          <w:rFonts w:hint="eastAsia" w:ascii="仿宋_GB2312"/>
          <w:sz w:val="28"/>
          <w:szCs w:val="28"/>
          <w:lang w:val="en-US" w:eastAsia="zh-CN"/>
        </w:rPr>
      </w:pPr>
      <w:r>
        <w:rPr>
          <w:rFonts w:hint="eastAsia" w:ascii="仿宋_GB2312"/>
          <w:sz w:val="28"/>
          <w:szCs w:val="28"/>
          <w:lang w:val="en-US" w:eastAsia="zh-CN"/>
        </w:rPr>
        <w:t>1.数量目标：2021年全年发明专利申请量400件，专利申请量达到5264件，开展开展“知识产权周”宣传1次达到批复的绩效目标任务值，目标完成100%。</w:t>
      </w:r>
    </w:p>
    <w:p>
      <w:pPr>
        <w:spacing w:line="600" w:lineRule="exact"/>
        <w:ind w:firstLine="560" w:firstLineChars="200"/>
        <w:rPr>
          <w:rFonts w:hint="default" w:ascii="仿宋_GB2312"/>
          <w:sz w:val="28"/>
          <w:szCs w:val="28"/>
          <w:lang w:val="en-US" w:eastAsia="zh-CN"/>
        </w:rPr>
      </w:pPr>
      <w:r>
        <w:rPr>
          <w:rFonts w:hint="eastAsia" w:ascii="仿宋_GB2312"/>
          <w:sz w:val="28"/>
          <w:szCs w:val="28"/>
          <w:lang w:val="en-US" w:eastAsia="zh-CN"/>
        </w:rPr>
        <w:t>2.质量目标：2021年专利授权量达到5264件，管理制度健全性达到批复的绩效目标任务值，目标完成100%。</w:t>
      </w:r>
    </w:p>
    <w:p>
      <w:pPr>
        <w:spacing w:line="600" w:lineRule="exact"/>
        <w:ind w:firstLine="560" w:firstLineChars="200"/>
        <w:rPr>
          <w:rFonts w:hint="eastAsia" w:ascii="仿宋_GB2312"/>
          <w:sz w:val="28"/>
          <w:szCs w:val="28"/>
          <w:lang w:val="en-US" w:eastAsia="zh-CN"/>
        </w:rPr>
      </w:pPr>
      <w:r>
        <w:rPr>
          <w:rFonts w:hint="eastAsia" w:ascii="仿宋_GB2312"/>
          <w:sz w:val="28"/>
          <w:szCs w:val="28"/>
          <w:lang w:val="en-US" w:eastAsia="zh-CN"/>
        </w:rPr>
        <w:t>3.时效目标：经核验，所有指标均在2021年年底前完成。目标完成100%。</w:t>
      </w:r>
    </w:p>
    <w:p>
      <w:pPr>
        <w:spacing w:line="600" w:lineRule="exact"/>
        <w:ind w:firstLine="560" w:firstLineChars="200"/>
        <w:rPr>
          <w:rFonts w:hint="default" w:ascii="仿宋_GB2312"/>
          <w:sz w:val="28"/>
          <w:szCs w:val="28"/>
          <w:lang w:val="en-US" w:eastAsia="zh-CN"/>
        </w:rPr>
      </w:pPr>
      <w:r>
        <w:rPr>
          <w:rFonts w:hint="eastAsia" w:ascii="仿宋_GB2312"/>
          <w:sz w:val="28"/>
          <w:szCs w:val="28"/>
          <w:lang w:val="en-US" w:eastAsia="zh-CN"/>
        </w:rPr>
        <w:t>4.经济效益目标/社会效益目标/生态效益目标/可持续影响目标：2021年该项目实施后，企业获得专利权质押贷款授信金额、知识产权管理规范贯标、全市万人发明专利拥有量、福建省知识产权优质企业、福建省知识产权优质企业完成全年目标任务，目标完成率达100%。</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四、绩效评价指标分析</w:t>
      </w:r>
    </w:p>
    <w:p>
      <w:pPr>
        <w:spacing w:line="600" w:lineRule="exact"/>
        <w:ind w:firstLine="560" w:firstLineChars="200"/>
        <w:outlineLvl w:val="0"/>
        <w:rPr>
          <w:rFonts w:hint="eastAsia" w:ascii="仿宋_GB2312"/>
          <w:sz w:val="28"/>
          <w:szCs w:val="28"/>
          <w:lang w:eastAsia="zh-CN"/>
        </w:rPr>
      </w:pPr>
      <w:r>
        <w:rPr>
          <w:rFonts w:hint="eastAsia" w:ascii="仿宋_GB2312"/>
          <w:sz w:val="28"/>
          <w:szCs w:val="28"/>
        </w:rPr>
        <w:t>（一）项目决策情况</w:t>
      </w:r>
      <w:r>
        <w:rPr>
          <w:rFonts w:hint="eastAsia" w:ascii="仿宋_GB2312"/>
          <w:sz w:val="28"/>
          <w:szCs w:val="28"/>
          <w:lang w:eastAsia="zh-CN"/>
        </w:rPr>
        <w:t>（</w:t>
      </w:r>
      <w:r>
        <w:rPr>
          <w:rFonts w:hint="eastAsia" w:ascii="仿宋_GB2312"/>
          <w:sz w:val="28"/>
          <w:szCs w:val="28"/>
          <w:lang w:val="en-US" w:eastAsia="zh-CN"/>
        </w:rPr>
        <w:t>满分15分，得分15分</w:t>
      </w:r>
      <w:r>
        <w:rPr>
          <w:rFonts w:hint="eastAsia" w:ascii="仿宋_GB2312"/>
          <w:sz w:val="28"/>
          <w:szCs w:val="28"/>
          <w:lang w:eastAsia="zh-CN"/>
        </w:rPr>
        <w:t>）</w:t>
      </w:r>
    </w:p>
    <w:p>
      <w:pPr>
        <w:spacing w:line="600" w:lineRule="exact"/>
        <w:ind w:firstLine="560" w:firstLineChars="200"/>
        <w:outlineLvl w:val="0"/>
        <w:rPr>
          <w:rFonts w:hint="eastAsia" w:ascii="仿宋_GB2312"/>
          <w:sz w:val="28"/>
          <w:szCs w:val="28"/>
          <w:lang w:val="en-US" w:eastAsia="zh-CN"/>
        </w:rPr>
      </w:pPr>
      <w:r>
        <w:rPr>
          <w:rFonts w:hint="eastAsia" w:ascii="仿宋_GB2312"/>
          <w:sz w:val="28"/>
          <w:szCs w:val="28"/>
          <w:lang w:val="en-US" w:eastAsia="zh-CN"/>
        </w:rPr>
        <w:t>1.项目立项依据（满分6分，得分6分）</w:t>
      </w:r>
    </w:p>
    <w:p>
      <w:pPr>
        <w:spacing w:line="600" w:lineRule="exact"/>
        <w:ind w:firstLine="560" w:firstLineChars="200"/>
        <w:outlineLvl w:val="0"/>
        <w:rPr>
          <w:rFonts w:hint="eastAsia" w:ascii="仿宋_GB2312" w:hAnsi="仿宋_GB2312" w:eastAsia="仿宋_GB2312" w:cs="仿宋_GB2312"/>
          <w:color w:val="000000"/>
          <w:kern w:val="2"/>
          <w:sz w:val="30"/>
          <w:szCs w:val="30"/>
          <w:lang w:val="en-US" w:eastAsia="zh-CN" w:bidi="ar-SA"/>
        </w:rPr>
      </w:pPr>
      <w:r>
        <w:rPr>
          <w:rFonts w:hint="eastAsia" w:ascii="仿宋_GB2312"/>
          <w:sz w:val="28"/>
          <w:szCs w:val="28"/>
          <w:lang w:val="en-US" w:eastAsia="zh-CN"/>
        </w:rPr>
        <w:t>（1）立项依据充分性3分，得分3分，</w:t>
      </w:r>
      <w:r>
        <w:rPr>
          <w:rFonts w:hint="eastAsia" w:ascii="仿宋_GB2312" w:hAnsi="仿宋_GB2312" w:eastAsia="仿宋_GB2312" w:cs="仿宋_GB2312"/>
          <w:color w:val="000000"/>
          <w:kern w:val="2"/>
          <w:sz w:val="30"/>
          <w:szCs w:val="30"/>
          <w:lang w:val="en-US" w:eastAsia="zh-CN" w:bidi="ar-SA"/>
        </w:rPr>
        <w:t>项目立项符合法律法规、相关政策、</w:t>
      </w:r>
      <w:r>
        <w:rPr>
          <w:rFonts w:hint="eastAsia" w:ascii="仿宋_GB2312" w:hAnsi="仿宋_GB2312" w:cs="仿宋_GB2312"/>
          <w:color w:val="000000"/>
          <w:kern w:val="2"/>
          <w:sz w:val="30"/>
          <w:szCs w:val="30"/>
          <w:lang w:val="en-US" w:eastAsia="zh-CN" w:bidi="ar-SA"/>
        </w:rPr>
        <w:t>市场监督管理局</w:t>
      </w:r>
      <w:r>
        <w:rPr>
          <w:rFonts w:hint="eastAsia" w:ascii="仿宋_GB2312" w:hAnsi="仿宋_GB2312" w:eastAsia="仿宋_GB2312" w:cs="仿宋_GB2312"/>
          <w:color w:val="000000"/>
          <w:kern w:val="2"/>
          <w:sz w:val="30"/>
          <w:szCs w:val="30"/>
          <w:lang w:val="en-US" w:eastAsia="zh-CN" w:bidi="ar-SA"/>
        </w:rPr>
        <w:t>部门职责。立项依据充分，得满分。</w:t>
      </w:r>
    </w:p>
    <w:p>
      <w:pPr>
        <w:spacing w:line="600" w:lineRule="exact"/>
        <w:ind w:firstLine="560" w:firstLineChars="200"/>
        <w:jc w:val="left"/>
        <w:outlineLvl w:val="0"/>
        <w:rPr>
          <w:rFonts w:hint="eastAsia" w:ascii="仿宋_GB2312" w:hAnsi="仿宋_GB2312" w:cs="仿宋_GB2312"/>
          <w:color w:val="000000"/>
          <w:kern w:val="2"/>
          <w:sz w:val="30"/>
          <w:szCs w:val="30"/>
          <w:lang w:val="en-US" w:eastAsia="zh-CN" w:bidi="ar-SA"/>
        </w:rPr>
      </w:pPr>
      <w:r>
        <w:rPr>
          <w:rFonts w:hint="eastAsia" w:ascii="仿宋_GB2312"/>
          <w:sz w:val="28"/>
          <w:szCs w:val="28"/>
          <w:lang w:val="en-US" w:eastAsia="zh-CN"/>
        </w:rPr>
        <w:t>（2）立项程序规范性3分，得分3分，</w:t>
      </w:r>
      <w:r>
        <w:rPr>
          <w:rFonts w:hint="eastAsia" w:ascii="仿宋_GB2312" w:hAnsi="仿宋_GB2312" w:eastAsia="仿宋_GB2312" w:cs="仿宋_GB2312"/>
          <w:color w:val="000000"/>
          <w:kern w:val="2"/>
          <w:sz w:val="30"/>
          <w:szCs w:val="30"/>
          <w:lang w:val="en-US" w:eastAsia="zh-CN" w:bidi="ar-SA"/>
        </w:rPr>
        <w:t>项目立项能够按</w:t>
      </w:r>
      <w:r>
        <w:rPr>
          <w:rFonts w:hint="eastAsia" w:ascii="仿宋_GB2312" w:hAnsi="仿宋_GB2312" w:cs="仿宋_GB2312"/>
          <w:color w:val="000000"/>
          <w:kern w:val="2"/>
          <w:sz w:val="30"/>
          <w:szCs w:val="30"/>
          <w:lang w:val="en-US" w:eastAsia="zh-CN" w:bidi="ar-SA"/>
        </w:rPr>
        <w:t>市场监督管理局</w:t>
      </w:r>
      <w:r>
        <w:rPr>
          <w:rFonts w:hint="eastAsia" w:ascii="仿宋_GB2312" w:hAnsi="仿宋_GB2312" w:eastAsia="仿宋_GB2312" w:cs="仿宋_GB2312"/>
          <w:color w:val="000000"/>
          <w:kern w:val="2"/>
          <w:sz w:val="30"/>
          <w:szCs w:val="30"/>
          <w:lang w:val="en-US" w:eastAsia="zh-CN" w:bidi="ar-SA"/>
        </w:rPr>
        <w:t>相关制度经过形式审查和集体决策的审核审批。立项程序规范，得满分。</w:t>
      </w:r>
      <w:r>
        <w:rPr>
          <w:rFonts w:hint="eastAsia" w:ascii="仿宋_GB2312" w:hAnsi="仿宋_GB2312" w:cs="仿宋_GB2312"/>
          <w:color w:val="000000"/>
          <w:kern w:val="2"/>
          <w:sz w:val="30"/>
          <w:szCs w:val="30"/>
          <w:lang w:val="en-US" w:eastAsia="zh-CN" w:bidi="ar-SA"/>
        </w:rPr>
        <w:t xml:space="preserve">  </w:t>
      </w:r>
    </w:p>
    <w:p>
      <w:pPr>
        <w:spacing w:line="600" w:lineRule="exact"/>
        <w:ind w:firstLine="560" w:firstLineChars="200"/>
        <w:jc w:val="left"/>
        <w:outlineLvl w:val="0"/>
        <w:rPr>
          <w:rFonts w:hint="eastAsia" w:ascii="仿宋_GB2312" w:hAnsi="Times New Roman" w:cs="Times New Roman"/>
          <w:sz w:val="28"/>
          <w:szCs w:val="28"/>
          <w:lang w:val="en-US" w:eastAsia="zh-CN"/>
        </w:rPr>
      </w:pPr>
      <w:r>
        <w:rPr>
          <w:rFonts w:hint="eastAsia" w:ascii="仿宋_GB2312" w:hAnsi="Times New Roman" w:cs="Times New Roman"/>
          <w:sz w:val="28"/>
          <w:szCs w:val="28"/>
          <w:lang w:val="en-US" w:eastAsia="zh-CN"/>
        </w:rPr>
        <w:t>2.绩效目标（满分6分，得分6分）</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sz w:val="28"/>
          <w:szCs w:val="28"/>
          <w:lang w:val="en-US" w:eastAsia="zh-CN"/>
        </w:rPr>
        <w:t>（1）绩效目标合理性3分，得分3分，</w:t>
      </w:r>
      <w:r>
        <w:rPr>
          <w:rFonts w:hint="eastAsia" w:ascii="仿宋_GB2312" w:hAnsi="仿宋_GB2312" w:eastAsia="仿宋_GB2312" w:cs="仿宋_GB2312"/>
          <w:color w:val="000000"/>
          <w:kern w:val="2"/>
          <w:sz w:val="30"/>
          <w:szCs w:val="30"/>
          <w:lang w:val="en-US" w:eastAsia="zh-CN" w:bidi="ar-SA"/>
        </w:rPr>
        <w:t>项目目标设置契合莆田市</w:t>
      </w:r>
      <w:r>
        <w:rPr>
          <w:rFonts w:hint="eastAsia" w:ascii="仿宋_GB2312" w:hAnsi="仿宋_GB2312" w:cs="仿宋_GB2312"/>
          <w:color w:val="000000"/>
          <w:kern w:val="2"/>
          <w:sz w:val="30"/>
          <w:szCs w:val="30"/>
          <w:lang w:val="en-US" w:eastAsia="zh-CN" w:bidi="ar-SA"/>
        </w:rPr>
        <w:t>知识产权</w:t>
      </w:r>
      <w:r>
        <w:rPr>
          <w:rFonts w:hint="eastAsia" w:ascii="仿宋_GB2312" w:hAnsi="仿宋_GB2312" w:eastAsia="仿宋_GB2312" w:cs="仿宋_GB2312"/>
          <w:color w:val="000000"/>
          <w:kern w:val="2"/>
          <w:sz w:val="30"/>
          <w:szCs w:val="30"/>
          <w:lang w:val="en-US" w:eastAsia="zh-CN" w:bidi="ar-SA"/>
        </w:rPr>
        <w:t>发展实际、与实施单位密切相关、为莆田市</w:t>
      </w:r>
      <w:r>
        <w:rPr>
          <w:rFonts w:hint="eastAsia" w:ascii="仿宋_GB2312" w:hAnsi="仿宋_GB2312" w:cs="仿宋_GB2312"/>
          <w:color w:val="000000"/>
          <w:kern w:val="2"/>
          <w:sz w:val="30"/>
          <w:szCs w:val="30"/>
          <w:lang w:val="en-US" w:eastAsia="zh-CN" w:bidi="ar-SA"/>
        </w:rPr>
        <w:t>知识产权</w:t>
      </w:r>
      <w:r>
        <w:rPr>
          <w:rFonts w:hint="eastAsia" w:ascii="仿宋_GB2312" w:hAnsi="仿宋_GB2312" w:eastAsia="仿宋_GB2312" w:cs="仿宋_GB2312"/>
          <w:color w:val="000000"/>
          <w:kern w:val="2"/>
          <w:sz w:val="30"/>
          <w:szCs w:val="30"/>
          <w:lang w:val="en-US" w:eastAsia="zh-CN" w:bidi="ar-SA"/>
        </w:rPr>
        <w:t>事业发展所必需。绩效目标合理，得满分。</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sz w:val="28"/>
          <w:szCs w:val="28"/>
          <w:lang w:val="en-US" w:eastAsia="zh-CN"/>
        </w:rPr>
        <w:t>（2）绩效指标明确性3分，得分3分，</w:t>
      </w:r>
      <w:r>
        <w:rPr>
          <w:rFonts w:hint="eastAsia" w:ascii="仿宋_GB2312" w:hAnsi="仿宋_GB2312" w:eastAsia="仿宋_GB2312" w:cs="仿宋_GB2312"/>
          <w:color w:val="000000"/>
          <w:kern w:val="2"/>
          <w:sz w:val="30"/>
          <w:szCs w:val="30"/>
          <w:lang w:val="en-US" w:eastAsia="zh-CN" w:bidi="ar-SA"/>
        </w:rPr>
        <w:t>项目绩效指标有进行细化分解、比较清晰、可衡量。</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sz w:val="28"/>
          <w:szCs w:val="28"/>
          <w:lang w:val="en-US" w:eastAsia="zh-CN"/>
        </w:rPr>
        <w:t>3.资金投入（满分3分，得分3分），</w:t>
      </w:r>
      <w:r>
        <w:rPr>
          <w:rFonts w:hint="eastAsia" w:ascii="仿宋_GB2312" w:hAnsi="仿宋_GB2312" w:eastAsia="仿宋_GB2312" w:cs="仿宋_GB2312"/>
          <w:color w:val="000000"/>
          <w:kern w:val="2"/>
          <w:sz w:val="30"/>
          <w:szCs w:val="30"/>
          <w:lang w:val="en-US" w:eastAsia="zh-CN" w:bidi="ar-SA"/>
        </w:rPr>
        <w:t>预算编制经过科学论证、预算内容与项目内容相匹配、预算额度测算依据比较充分。预算编制科学，得满分。</w:t>
      </w:r>
    </w:p>
    <w:p>
      <w:pPr>
        <w:spacing w:line="600" w:lineRule="exact"/>
        <w:ind w:firstLine="560" w:firstLineChars="200"/>
        <w:outlineLvl w:val="0"/>
        <w:rPr>
          <w:rFonts w:hint="eastAsia" w:ascii="仿宋_GB2312"/>
          <w:sz w:val="28"/>
          <w:szCs w:val="28"/>
          <w:lang w:eastAsia="zh-CN"/>
        </w:rPr>
      </w:pPr>
      <w:r>
        <w:rPr>
          <w:rFonts w:hint="eastAsia" w:ascii="仿宋_GB2312"/>
          <w:sz w:val="28"/>
          <w:szCs w:val="28"/>
        </w:rPr>
        <w:t>（二）项目过程情况</w:t>
      </w:r>
      <w:r>
        <w:rPr>
          <w:rFonts w:hint="eastAsia" w:ascii="仿宋_GB2312"/>
          <w:sz w:val="28"/>
          <w:szCs w:val="28"/>
          <w:lang w:eastAsia="zh-CN"/>
        </w:rPr>
        <w:t>（</w:t>
      </w:r>
      <w:r>
        <w:rPr>
          <w:rFonts w:hint="eastAsia" w:ascii="仿宋_GB2312"/>
          <w:sz w:val="28"/>
          <w:szCs w:val="28"/>
          <w:lang w:val="en-US" w:eastAsia="zh-CN"/>
        </w:rPr>
        <w:t>满分15分，得分14.2分</w:t>
      </w:r>
      <w:r>
        <w:rPr>
          <w:rFonts w:hint="eastAsia" w:ascii="仿宋_GB2312"/>
          <w:sz w:val="28"/>
          <w:szCs w:val="28"/>
          <w:lang w:eastAsia="zh-CN"/>
        </w:rPr>
        <w:t>）</w:t>
      </w:r>
    </w:p>
    <w:p>
      <w:pPr>
        <w:spacing w:line="600" w:lineRule="exact"/>
        <w:ind w:firstLine="560" w:firstLineChars="200"/>
        <w:outlineLvl w:val="0"/>
        <w:rPr>
          <w:rFonts w:hint="eastAsia" w:ascii="仿宋_GB2312"/>
          <w:sz w:val="28"/>
          <w:szCs w:val="28"/>
          <w:lang w:val="en-US" w:eastAsia="zh-CN"/>
        </w:rPr>
      </w:pPr>
      <w:r>
        <w:rPr>
          <w:rFonts w:hint="eastAsia" w:ascii="仿宋_GB2312"/>
          <w:sz w:val="28"/>
          <w:szCs w:val="28"/>
          <w:lang w:val="en-US" w:eastAsia="zh-CN"/>
        </w:rPr>
        <w:t>1.资金管理（满分11，得分10.2分）</w:t>
      </w:r>
    </w:p>
    <w:p>
      <w:pPr>
        <w:spacing w:line="600" w:lineRule="exact"/>
        <w:ind w:firstLine="560" w:firstLineChars="200"/>
        <w:outlineLvl w:val="0"/>
        <w:rPr>
          <w:rFonts w:hint="default" w:ascii="仿宋_GB2312"/>
          <w:sz w:val="28"/>
          <w:szCs w:val="28"/>
          <w:lang w:val="en-US" w:eastAsia="zh-CN"/>
        </w:rPr>
      </w:pPr>
      <w:r>
        <w:rPr>
          <w:rFonts w:hint="eastAsia" w:ascii="仿宋_GB2312"/>
          <w:sz w:val="28"/>
          <w:szCs w:val="28"/>
          <w:lang w:val="en-US" w:eastAsia="zh-CN"/>
        </w:rPr>
        <w:t>（1）预算执行率8分，得分7.2分。扣分原因全年预算数135万元，全年实际执行数121.98万元。</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sz w:val="28"/>
          <w:szCs w:val="28"/>
          <w:lang w:val="en-US" w:eastAsia="zh-CN"/>
        </w:rPr>
        <w:t>（2）资金使用合规性3分，得分3分。</w:t>
      </w:r>
      <w:r>
        <w:rPr>
          <w:rFonts w:hint="eastAsia" w:ascii="仿宋_GB2312" w:hAnsi="仿宋_GB2312" w:eastAsia="仿宋_GB2312" w:cs="仿宋_GB2312"/>
          <w:color w:val="000000"/>
          <w:kern w:val="2"/>
          <w:sz w:val="30"/>
          <w:szCs w:val="30"/>
          <w:lang w:val="en-US" w:eastAsia="zh-CN" w:bidi="ar-SA"/>
        </w:rPr>
        <w:t>资金用途符合项目预算，预算支出调整有按规定报批，不存在截留、挤占、挪用等状况。资金使用合规，得满分。</w:t>
      </w:r>
    </w:p>
    <w:p>
      <w:pPr>
        <w:pStyle w:val="2"/>
        <w:rPr>
          <w:rFonts w:hint="eastAsia" w:ascii="仿宋_GB2312"/>
          <w:sz w:val="28"/>
          <w:szCs w:val="28"/>
          <w:lang w:val="en-US" w:eastAsia="zh-CN"/>
        </w:rPr>
      </w:pPr>
      <w:r>
        <w:rPr>
          <w:rFonts w:hint="eastAsia" w:ascii="仿宋_GB2312"/>
          <w:sz w:val="28"/>
          <w:szCs w:val="28"/>
          <w:lang w:val="en-US" w:eastAsia="zh-CN"/>
        </w:rPr>
        <w:t xml:space="preserve">     2.组织实施（满分4，得分4分）</w:t>
      </w:r>
    </w:p>
    <w:p>
      <w:pPr>
        <w:pStyle w:val="2"/>
        <w:ind w:firstLine="560"/>
        <w:rPr>
          <w:rFonts w:hint="default" w:ascii="仿宋_GB2312" w:hAnsi="仿宋_GB2312" w:cs="仿宋_GB2312"/>
          <w:color w:val="000000"/>
          <w:kern w:val="2"/>
          <w:sz w:val="30"/>
          <w:szCs w:val="30"/>
          <w:lang w:val="en-US" w:eastAsia="zh-CN" w:bidi="ar-SA"/>
        </w:rPr>
      </w:pPr>
      <w:r>
        <w:rPr>
          <w:rFonts w:hint="eastAsia" w:ascii="仿宋_GB2312"/>
          <w:sz w:val="28"/>
          <w:szCs w:val="28"/>
          <w:lang w:val="en-US" w:eastAsia="zh-CN"/>
        </w:rPr>
        <w:t>（1）管理制度健全性2分，得分2分。</w:t>
      </w:r>
      <w:r>
        <w:rPr>
          <w:rFonts w:hint="eastAsia" w:ascii="仿宋_GB2312" w:hAnsi="仿宋_GB2312" w:eastAsia="仿宋_GB2312" w:cs="仿宋_GB2312"/>
          <w:color w:val="000000"/>
          <w:kern w:val="2"/>
          <w:sz w:val="30"/>
          <w:szCs w:val="30"/>
          <w:lang w:val="en-US" w:eastAsia="zh-CN" w:bidi="ar-SA"/>
        </w:rPr>
        <w:t>管理制</w:t>
      </w:r>
      <w:r>
        <w:rPr>
          <w:rFonts w:hint="eastAsia" w:ascii="仿宋_GB2312" w:hAnsi="仿宋_GB2312" w:cs="仿宋_GB2312"/>
          <w:color w:val="000000"/>
          <w:kern w:val="2"/>
          <w:sz w:val="30"/>
          <w:szCs w:val="30"/>
          <w:lang w:val="en-US" w:eastAsia="zh-CN" w:bidi="ar-SA"/>
        </w:rPr>
        <w:t>度</w:t>
      </w:r>
      <w:r>
        <w:rPr>
          <w:rFonts w:hint="eastAsia" w:ascii="仿宋_GB2312" w:hAnsi="仿宋_GB2312" w:eastAsia="仿宋_GB2312" w:cs="仿宋_GB2312"/>
          <w:color w:val="000000"/>
          <w:kern w:val="2"/>
          <w:sz w:val="30"/>
          <w:szCs w:val="30"/>
          <w:lang w:val="en-US" w:eastAsia="zh-CN" w:bidi="ar-SA"/>
        </w:rPr>
        <w:t>健全</w:t>
      </w:r>
      <w:r>
        <w:rPr>
          <w:rFonts w:hint="eastAsia" w:ascii="仿宋_GB2312" w:hAnsi="仿宋_GB2312" w:cs="仿宋_GB2312"/>
          <w:color w:val="000000"/>
          <w:kern w:val="2"/>
          <w:sz w:val="30"/>
          <w:szCs w:val="30"/>
          <w:lang w:val="en-US" w:eastAsia="zh-CN" w:bidi="ar-SA"/>
        </w:rPr>
        <w:t>，得满分。</w:t>
      </w:r>
    </w:p>
    <w:p>
      <w:pPr>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cs="仿宋_GB2312"/>
          <w:color w:val="000000"/>
          <w:kern w:val="2"/>
          <w:sz w:val="30"/>
          <w:szCs w:val="30"/>
          <w:lang w:val="en-US" w:eastAsia="zh-CN" w:bidi="ar-SA"/>
        </w:rPr>
        <w:t>（2）制度执行有效性2分，得分2分。</w:t>
      </w:r>
      <w:r>
        <w:rPr>
          <w:rFonts w:hint="eastAsia" w:ascii="仿宋_GB2312" w:hAnsi="仿宋_GB2312" w:eastAsia="仿宋_GB2312" w:cs="仿宋_GB2312"/>
          <w:color w:val="000000"/>
          <w:kern w:val="2"/>
          <w:sz w:val="30"/>
          <w:szCs w:val="30"/>
          <w:lang w:val="en-US" w:eastAsia="zh-CN" w:bidi="ar-SA"/>
        </w:rPr>
        <w:t>管理按照管理制度严格执行，得满分。</w:t>
      </w:r>
    </w:p>
    <w:p>
      <w:pPr>
        <w:pStyle w:val="2"/>
        <w:ind w:firstLine="560"/>
        <w:rPr>
          <w:rFonts w:hint="default" w:ascii="仿宋_GB2312" w:hAnsi="仿宋_GB2312" w:cs="仿宋_GB2312"/>
          <w:color w:val="000000"/>
          <w:kern w:val="2"/>
          <w:sz w:val="30"/>
          <w:szCs w:val="30"/>
          <w:lang w:val="en-US" w:eastAsia="zh-CN" w:bidi="ar-SA"/>
        </w:rPr>
      </w:pPr>
    </w:p>
    <w:p>
      <w:pPr>
        <w:spacing w:line="600" w:lineRule="exact"/>
        <w:ind w:firstLine="560" w:firstLineChars="200"/>
        <w:outlineLvl w:val="0"/>
        <w:rPr>
          <w:rFonts w:hint="eastAsia" w:ascii="仿宋_GB2312"/>
          <w:sz w:val="28"/>
          <w:szCs w:val="28"/>
          <w:lang w:eastAsia="zh-CN"/>
        </w:rPr>
      </w:pPr>
      <w:r>
        <w:rPr>
          <w:rFonts w:hint="eastAsia" w:ascii="仿宋_GB2312"/>
          <w:sz w:val="28"/>
          <w:szCs w:val="28"/>
        </w:rPr>
        <w:t>（三）项目产出情况</w:t>
      </w:r>
      <w:r>
        <w:rPr>
          <w:rFonts w:hint="eastAsia" w:ascii="仿宋_GB2312"/>
          <w:sz w:val="28"/>
          <w:szCs w:val="28"/>
          <w:lang w:eastAsia="zh-CN"/>
        </w:rPr>
        <w:t>（</w:t>
      </w:r>
      <w:r>
        <w:rPr>
          <w:rFonts w:hint="eastAsia" w:ascii="仿宋_GB2312"/>
          <w:sz w:val="28"/>
          <w:szCs w:val="28"/>
          <w:lang w:val="en-US" w:eastAsia="zh-CN"/>
        </w:rPr>
        <w:t>满分30分，得分30分</w:t>
      </w:r>
      <w:r>
        <w:rPr>
          <w:rFonts w:hint="eastAsia" w:ascii="仿宋_GB2312"/>
          <w:sz w:val="28"/>
          <w:szCs w:val="28"/>
          <w:lang w:eastAsia="zh-CN"/>
        </w:rPr>
        <w:t>）</w:t>
      </w:r>
    </w:p>
    <w:p>
      <w:pPr>
        <w:spacing w:line="600" w:lineRule="exact"/>
        <w:ind w:firstLine="560" w:firstLineChars="200"/>
        <w:outlineLvl w:val="0"/>
        <w:rPr>
          <w:rFonts w:hint="eastAsia" w:ascii="仿宋_GB2312"/>
          <w:sz w:val="28"/>
          <w:szCs w:val="28"/>
          <w:lang w:val="en-US" w:eastAsia="zh-CN"/>
        </w:rPr>
      </w:pPr>
      <w:r>
        <w:rPr>
          <w:rFonts w:hint="eastAsia" w:ascii="仿宋_GB2312"/>
          <w:sz w:val="28"/>
          <w:szCs w:val="28"/>
          <w:lang w:val="en-US" w:eastAsia="zh-CN"/>
        </w:rPr>
        <w:t>1.产出数量（满分15分，得分15分）</w:t>
      </w:r>
    </w:p>
    <w:p>
      <w:pPr>
        <w:pStyle w:val="2"/>
        <w:rPr>
          <w:rFonts w:hint="eastAsia" w:ascii="仿宋_GB2312"/>
          <w:sz w:val="28"/>
          <w:szCs w:val="28"/>
          <w:lang w:val="en-US" w:eastAsia="zh-CN"/>
        </w:rPr>
      </w:pPr>
      <w:r>
        <w:rPr>
          <w:rFonts w:hint="eastAsia" w:ascii="仿宋_GB2312"/>
          <w:sz w:val="28"/>
          <w:szCs w:val="28"/>
          <w:lang w:val="en-US" w:eastAsia="zh-CN"/>
        </w:rPr>
        <w:t xml:space="preserve">      （1）专利授权量5分，得分5分。全年专利授权量达到5264件，超过年初目标数。</w:t>
      </w:r>
    </w:p>
    <w:p>
      <w:pPr>
        <w:pStyle w:val="2"/>
        <w:rPr>
          <w:rFonts w:hint="eastAsia" w:ascii="仿宋_GB2312"/>
          <w:sz w:val="28"/>
          <w:szCs w:val="28"/>
          <w:lang w:val="en-US" w:eastAsia="zh-CN"/>
        </w:rPr>
      </w:pPr>
      <w:r>
        <w:rPr>
          <w:rFonts w:hint="eastAsia" w:ascii="仿宋_GB2312"/>
          <w:sz w:val="28"/>
          <w:szCs w:val="28"/>
          <w:lang w:val="en-US" w:eastAsia="zh-CN"/>
        </w:rPr>
        <w:t xml:space="preserve">      （2）知识产权管理规范认证5分，得分5分，全年知识产权管理规范认证10家。</w:t>
      </w:r>
    </w:p>
    <w:p>
      <w:pPr>
        <w:pStyle w:val="2"/>
        <w:rPr>
          <w:rFonts w:hint="eastAsia" w:ascii="仿宋_GB2312"/>
          <w:sz w:val="28"/>
          <w:szCs w:val="28"/>
          <w:lang w:val="en-US" w:eastAsia="zh-CN"/>
        </w:rPr>
      </w:pPr>
      <w:r>
        <w:rPr>
          <w:rFonts w:hint="eastAsia" w:ascii="仿宋_GB2312"/>
          <w:sz w:val="28"/>
          <w:szCs w:val="28"/>
          <w:lang w:val="en-US" w:eastAsia="zh-CN"/>
        </w:rPr>
        <w:t xml:space="preserve">      （3）知识产权公共服务平台5分，得分5分。全年获得2个知识产权公共服务平台。</w:t>
      </w:r>
    </w:p>
    <w:p>
      <w:pPr>
        <w:pStyle w:val="2"/>
        <w:ind w:firstLine="560"/>
        <w:rPr>
          <w:rFonts w:hint="eastAsia" w:ascii="仿宋_GB2312"/>
          <w:sz w:val="28"/>
          <w:szCs w:val="28"/>
          <w:lang w:val="en-US" w:eastAsia="zh-CN"/>
        </w:rPr>
      </w:pPr>
      <w:r>
        <w:rPr>
          <w:rFonts w:hint="eastAsia" w:ascii="仿宋_GB2312"/>
          <w:sz w:val="28"/>
          <w:szCs w:val="28"/>
          <w:lang w:val="en-US" w:eastAsia="zh-CN"/>
        </w:rPr>
        <w:t>2.产出质量（满分10分，得分10分）</w:t>
      </w:r>
    </w:p>
    <w:p>
      <w:pPr>
        <w:pStyle w:val="2"/>
        <w:ind w:firstLine="560"/>
        <w:rPr>
          <w:rFonts w:hint="eastAsia" w:ascii="仿宋_GB2312"/>
          <w:sz w:val="28"/>
          <w:szCs w:val="28"/>
          <w:lang w:val="en-US" w:eastAsia="zh-CN"/>
        </w:rPr>
      </w:pPr>
      <w:r>
        <w:rPr>
          <w:rFonts w:hint="eastAsia" w:ascii="仿宋_GB2312"/>
          <w:sz w:val="28"/>
          <w:szCs w:val="28"/>
          <w:lang w:val="en-US" w:eastAsia="zh-CN"/>
        </w:rPr>
        <w:t xml:space="preserve">   （1）资助授权发明专利量5分，得分5分。全年资助发明专利量达到122件。</w:t>
      </w:r>
    </w:p>
    <w:p>
      <w:pPr>
        <w:pStyle w:val="2"/>
        <w:ind w:firstLine="560"/>
        <w:rPr>
          <w:rFonts w:hint="eastAsia" w:ascii="仿宋_GB2312"/>
          <w:sz w:val="28"/>
          <w:szCs w:val="28"/>
          <w:lang w:val="en-US" w:eastAsia="zh-CN"/>
        </w:rPr>
      </w:pPr>
      <w:r>
        <w:rPr>
          <w:rFonts w:hint="eastAsia" w:ascii="仿宋_GB2312"/>
          <w:sz w:val="28"/>
          <w:szCs w:val="28"/>
          <w:lang w:val="en-US" w:eastAsia="zh-CN"/>
        </w:rPr>
        <w:t xml:space="preserve">   （2）发明专利授权量5分，得分5分。全年发明专利授权量达到352件。</w:t>
      </w:r>
    </w:p>
    <w:p>
      <w:pPr>
        <w:pStyle w:val="2"/>
        <w:ind w:firstLine="560"/>
        <w:rPr>
          <w:rFonts w:hint="default" w:ascii="仿宋_GB2312" w:hAnsi="Times New Roman" w:cs="Times New Roman"/>
          <w:sz w:val="28"/>
          <w:szCs w:val="28"/>
          <w:lang w:val="en-US" w:eastAsia="zh-CN"/>
        </w:rPr>
      </w:pPr>
      <w:r>
        <w:rPr>
          <w:rFonts w:hint="eastAsia" w:ascii="仿宋_GB2312"/>
          <w:sz w:val="28"/>
          <w:szCs w:val="28"/>
          <w:lang w:val="en-US" w:eastAsia="zh-CN"/>
        </w:rPr>
        <w:t>3.产出成本（满分5分，得分5分）</w:t>
      </w:r>
      <w:r>
        <w:rPr>
          <w:rFonts w:hint="eastAsia" w:ascii="仿宋_GB2312" w:hAnsi="Times New Roman" w:cs="Times New Roman"/>
          <w:sz w:val="28"/>
          <w:szCs w:val="28"/>
          <w:lang w:val="en-US" w:eastAsia="zh-CN"/>
        </w:rPr>
        <w:t>根据闽知规【2015】28号文规定，国内授权发明专利资助5000元，市里按比例30%资助，限一件资助1500元。</w:t>
      </w:r>
    </w:p>
    <w:p>
      <w:pPr>
        <w:spacing w:line="600" w:lineRule="exact"/>
        <w:ind w:firstLine="560" w:firstLineChars="200"/>
        <w:outlineLvl w:val="0"/>
        <w:rPr>
          <w:rFonts w:hint="eastAsia" w:ascii="仿宋_GB2312"/>
          <w:sz w:val="28"/>
          <w:szCs w:val="28"/>
          <w:lang w:eastAsia="zh-CN"/>
        </w:rPr>
      </w:pPr>
      <w:r>
        <w:rPr>
          <w:rFonts w:hint="eastAsia" w:ascii="仿宋_GB2312"/>
          <w:sz w:val="28"/>
          <w:szCs w:val="28"/>
        </w:rPr>
        <w:t>（四）项目效益情况</w:t>
      </w:r>
      <w:r>
        <w:rPr>
          <w:rFonts w:hint="eastAsia" w:ascii="仿宋_GB2312"/>
          <w:sz w:val="28"/>
          <w:szCs w:val="28"/>
          <w:lang w:eastAsia="zh-CN"/>
        </w:rPr>
        <w:t>（</w:t>
      </w:r>
      <w:r>
        <w:rPr>
          <w:rFonts w:hint="eastAsia" w:ascii="仿宋_GB2312"/>
          <w:sz w:val="28"/>
          <w:szCs w:val="28"/>
          <w:lang w:val="en-US" w:eastAsia="zh-CN"/>
        </w:rPr>
        <w:t>满分40分，得分38.2分</w:t>
      </w:r>
      <w:r>
        <w:rPr>
          <w:rFonts w:hint="eastAsia" w:ascii="仿宋_GB2312"/>
          <w:sz w:val="28"/>
          <w:szCs w:val="28"/>
          <w:lang w:eastAsia="zh-CN"/>
        </w:rPr>
        <w:t>）</w:t>
      </w:r>
    </w:p>
    <w:p>
      <w:pPr>
        <w:spacing w:line="600" w:lineRule="exact"/>
        <w:ind w:firstLine="560" w:firstLineChars="200"/>
        <w:outlineLvl w:val="0"/>
        <w:rPr>
          <w:rFonts w:hint="eastAsia" w:ascii="仿宋_GB2312" w:hAnsi="仿宋_GB2312" w:eastAsia="仿宋_GB2312" w:cs="Times New Roman"/>
          <w:bCs/>
          <w:color w:val="000000"/>
          <w:shd w:val="clear" w:color="auto" w:fill="FFFFFF"/>
        </w:rPr>
      </w:pPr>
      <w:r>
        <w:rPr>
          <w:rFonts w:hint="eastAsia" w:ascii="仿宋_GB2312" w:hAnsi="Times New Roman" w:cs="Times New Roman"/>
          <w:sz w:val="28"/>
          <w:szCs w:val="28"/>
          <w:lang w:val="en-US" w:eastAsia="zh-CN"/>
        </w:rPr>
        <w:t>1.参训人10分，得10分。</w:t>
      </w:r>
      <w:r>
        <w:rPr>
          <w:rFonts w:hint="eastAsia" w:ascii="仿宋_GB2312" w:hAnsi="仿宋_GB2312" w:eastAsia="仿宋_GB2312" w:cs="Times New Roman"/>
          <w:bCs/>
          <w:color w:val="000000"/>
          <w:shd w:val="clear" w:color="auto" w:fill="FFFFFF"/>
        </w:rPr>
        <w:t>组织市场监管系统人员、企业知识产权专员等参加“莆田市企业知识产权实务班”，导入43项课程，参训人数达61人，选课达601人次。</w:t>
      </w:r>
    </w:p>
    <w:p>
      <w:pPr>
        <w:pStyle w:val="2"/>
        <w:rPr>
          <w:rFonts w:hint="eastAsia" w:ascii="仿宋_GB2312" w:hAnsi="仿宋_GB2312" w:cs="Times New Roman"/>
          <w:bCs/>
          <w:color w:val="000000"/>
          <w:kern w:val="2"/>
          <w:sz w:val="30"/>
          <w:szCs w:val="24"/>
          <w:shd w:val="clear" w:color="auto" w:fill="FFFFFF"/>
          <w:lang w:val="en-US" w:eastAsia="zh-CN" w:bidi="ar-SA"/>
        </w:rPr>
      </w:pPr>
      <w:r>
        <w:rPr>
          <w:rFonts w:hint="eastAsia" w:ascii="仿宋_GB2312" w:hAnsi="仿宋_GB2312" w:cs="Times New Roman"/>
          <w:bCs/>
          <w:color w:val="000000"/>
          <w:shd w:val="clear" w:color="auto" w:fill="FFFFFF"/>
          <w:lang w:val="en-US" w:eastAsia="zh-CN"/>
        </w:rPr>
        <w:t xml:space="preserve">     </w:t>
      </w:r>
      <w:r>
        <w:rPr>
          <w:rFonts w:hint="eastAsia" w:ascii="仿宋_GB2312" w:hAnsi="仿宋_GB2312" w:eastAsia="仿宋_GB2312" w:cs="Times New Roman"/>
          <w:bCs/>
          <w:color w:val="000000"/>
          <w:kern w:val="2"/>
          <w:sz w:val="30"/>
          <w:szCs w:val="24"/>
          <w:shd w:val="clear" w:color="auto" w:fill="FFFFFF"/>
          <w:lang w:val="en-US" w:eastAsia="zh-CN" w:bidi="ar-SA"/>
        </w:rPr>
        <w:t>2.全市万人发明专利拥有量10分，得</w:t>
      </w:r>
      <w:r>
        <w:rPr>
          <w:rFonts w:hint="eastAsia" w:ascii="仿宋_GB2312" w:hAnsi="仿宋_GB2312" w:cs="Times New Roman"/>
          <w:bCs/>
          <w:color w:val="000000"/>
          <w:kern w:val="2"/>
          <w:sz w:val="30"/>
          <w:szCs w:val="24"/>
          <w:shd w:val="clear" w:color="auto" w:fill="FFFFFF"/>
          <w:lang w:val="en-US" w:eastAsia="zh-CN" w:bidi="ar-SA"/>
        </w:rPr>
        <w:t>分</w:t>
      </w:r>
      <w:r>
        <w:rPr>
          <w:rFonts w:hint="eastAsia" w:ascii="仿宋_GB2312" w:hAnsi="仿宋_GB2312" w:eastAsia="仿宋_GB2312" w:cs="Times New Roman"/>
          <w:bCs/>
          <w:color w:val="000000"/>
          <w:kern w:val="2"/>
          <w:sz w:val="30"/>
          <w:szCs w:val="24"/>
          <w:shd w:val="clear" w:color="auto" w:fill="FFFFFF"/>
          <w:lang w:val="en-US" w:eastAsia="zh-CN" w:bidi="ar-SA"/>
        </w:rPr>
        <w:t>8.2分。“每万人发明专利拥有量” 是计算历年累积量，我市存量低，企业知识产权创新意识和能力不足， “每万人口发明专利拥有量”为4.</w:t>
      </w:r>
      <w:r>
        <w:rPr>
          <w:rFonts w:hint="eastAsia" w:ascii="仿宋_GB2312" w:hAnsi="仿宋_GB2312" w:cs="Times New Roman"/>
          <w:bCs/>
          <w:color w:val="000000"/>
          <w:kern w:val="2"/>
          <w:sz w:val="30"/>
          <w:szCs w:val="24"/>
          <w:shd w:val="clear" w:color="auto" w:fill="FFFFFF"/>
          <w:lang w:val="en-US" w:eastAsia="zh-CN" w:bidi="ar-SA"/>
        </w:rPr>
        <w:t>212</w:t>
      </w:r>
      <w:r>
        <w:rPr>
          <w:rFonts w:hint="eastAsia" w:ascii="仿宋_GB2312" w:hAnsi="仿宋_GB2312" w:eastAsia="仿宋_GB2312" w:cs="Times New Roman"/>
          <w:bCs/>
          <w:color w:val="000000"/>
          <w:kern w:val="2"/>
          <w:sz w:val="30"/>
          <w:szCs w:val="24"/>
          <w:shd w:val="clear" w:color="auto" w:fill="FFFFFF"/>
          <w:lang w:val="en-US" w:eastAsia="zh-CN" w:bidi="ar-SA"/>
        </w:rPr>
        <w:t>件，仍居全省第7名</w:t>
      </w:r>
      <w:r>
        <w:rPr>
          <w:rFonts w:hint="eastAsia" w:ascii="仿宋_GB2312" w:hAnsi="仿宋_GB2312" w:cs="Times New Roman"/>
          <w:bCs/>
          <w:color w:val="000000"/>
          <w:kern w:val="2"/>
          <w:sz w:val="30"/>
          <w:szCs w:val="24"/>
          <w:shd w:val="clear" w:color="auto" w:fill="FFFFFF"/>
          <w:lang w:val="en-US" w:eastAsia="zh-CN" w:bidi="ar-SA"/>
        </w:rPr>
        <w:t>。</w:t>
      </w:r>
    </w:p>
    <w:p>
      <w:pPr>
        <w:pStyle w:val="2"/>
        <w:rPr>
          <w:rFonts w:hint="eastAsia" w:ascii="仿宋_GB2312" w:hAnsi="仿宋_GB2312" w:eastAsia="仿宋_GB2312" w:cs="Times New Roman"/>
          <w:bCs/>
          <w:color w:val="000000"/>
          <w:kern w:val="2"/>
          <w:sz w:val="30"/>
          <w:szCs w:val="24"/>
          <w:shd w:val="clear" w:color="auto" w:fill="FFFFFF"/>
          <w:lang w:val="en-US" w:eastAsia="zh-CN" w:bidi="ar-SA"/>
        </w:rPr>
      </w:pPr>
      <w:r>
        <w:rPr>
          <w:rFonts w:hint="eastAsia" w:ascii="仿宋_GB2312" w:hAnsi="仿宋_GB2312" w:cs="Times New Roman"/>
          <w:bCs/>
          <w:color w:val="000000"/>
          <w:kern w:val="2"/>
          <w:sz w:val="30"/>
          <w:szCs w:val="24"/>
          <w:shd w:val="clear" w:color="auto" w:fill="FFFFFF"/>
          <w:lang w:val="en-US" w:eastAsia="zh-CN" w:bidi="ar-SA"/>
        </w:rPr>
        <w:t xml:space="preserve">   3.福建省知识产权优质企业10分，得分10分，</w:t>
      </w:r>
      <w:r>
        <w:rPr>
          <w:rFonts w:hint="eastAsia" w:ascii="仿宋_GB2312" w:hAnsi="仿宋_GB2312" w:eastAsia="仿宋_GB2312" w:cs="Times New Roman"/>
          <w:bCs/>
          <w:color w:val="000000"/>
          <w:kern w:val="2"/>
          <w:sz w:val="30"/>
          <w:szCs w:val="24"/>
          <w:shd w:val="clear" w:color="auto" w:fill="FFFFFF"/>
          <w:lang w:val="en-US" w:eastAsia="zh-CN" w:bidi="ar-SA"/>
        </w:rPr>
        <w:t>4家企业被评为省知识产权优势企业。</w:t>
      </w:r>
    </w:p>
    <w:p>
      <w:pPr>
        <w:pStyle w:val="2"/>
        <w:rPr>
          <w:rFonts w:hint="default" w:ascii="仿宋_GB2312" w:hAnsi="仿宋_GB2312" w:eastAsia="仿宋_GB2312" w:cs="Times New Roman"/>
          <w:bCs/>
          <w:color w:val="000000"/>
          <w:kern w:val="2"/>
          <w:sz w:val="30"/>
          <w:szCs w:val="24"/>
          <w:shd w:val="clear" w:color="auto" w:fill="FFFFFF"/>
          <w:lang w:val="en-US" w:eastAsia="zh-CN" w:bidi="ar-SA"/>
        </w:rPr>
      </w:pPr>
      <w:r>
        <w:rPr>
          <w:rFonts w:hint="eastAsia" w:ascii="仿宋_GB2312" w:hAnsi="仿宋_GB2312" w:eastAsia="仿宋_GB2312" w:cs="Times New Roman"/>
          <w:bCs/>
          <w:color w:val="000000"/>
          <w:kern w:val="2"/>
          <w:sz w:val="30"/>
          <w:szCs w:val="24"/>
          <w:shd w:val="clear" w:color="auto" w:fill="FFFFFF"/>
          <w:lang w:val="en-US" w:eastAsia="zh-CN" w:bidi="ar-SA"/>
        </w:rPr>
        <w:t>4、受益人员满意度10分，得分10分。满意度100%。</w:t>
      </w:r>
    </w:p>
    <w:p>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五、主要经验及做法、存在的问题及原因分析</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主要经验及做法</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（总结已实现绩效目标的主要相关经验及做法，反映其内容和效果，并从各类调查内容、过程、结果中提炼，经验和做法要与相应的满分指标相匹配）</w:t>
      </w:r>
    </w:p>
    <w:p>
      <w:pPr>
        <w:snapToGrid w:val="0"/>
        <w:spacing w:line="560" w:lineRule="exact"/>
        <w:ind w:firstLine="600" w:firstLineChars="200"/>
        <w:rPr>
          <w:rFonts w:hint="eastAsia" w:ascii="仿宋_GB2312" w:hAnsi="仿宋_GB2312" w:eastAsia="仿宋_GB2312" w:cs="Times New Roman"/>
          <w:bCs/>
          <w:color w:val="000000"/>
          <w:shd w:val="clear" w:color="auto" w:fill="FFFFFF"/>
        </w:rPr>
      </w:pPr>
      <w:r>
        <w:rPr>
          <w:rFonts w:hint="eastAsia" w:ascii="仿宋_GB2312" w:hAnsi="仿宋_GB2312" w:eastAsia="仿宋_GB2312" w:cs="Times New Roman"/>
          <w:bCs/>
          <w:color w:val="000000"/>
          <w:shd w:val="clear" w:color="auto" w:fill="FFFFFF"/>
        </w:rPr>
        <w:t xml:space="preserve"> 1、持续推进“放管服”改革，提升知识产权管理和服务水平。  </w:t>
      </w:r>
    </w:p>
    <w:p>
      <w:pPr>
        <w:snapToGrid w:val="0"/>
        <w:spacing w:line="560" w:lineRule="exact"/>
        <w:ind w:firstLine="600" w:firstLineChars="200"/>
        <w:rPr>
          <w:rFonts w:hint="eastAsia" w:ascii="仿宋_GB2312" w:hAnsi="仿宋_GB2312" w:eastAsia="仿宋_GB2312" w:cs="Times New Roman"/>
          <w:bCs/>
          <w:color w:val="000000"/>
          <w:shd w:val="clear" w:color="auto" w:fill="FFFFFF"/>
        </w:rPr>
      </w:pPr>
      <w:r>
        <w:rPr>
          <w:rFonts w:hint="eastAsia" w:ascii="仿宋_GB2312" w:hAnsi="仿宋_GB2312" w:eastAsia="仿宋_GB2312" w:cs="Times New Roman"/>
          <w:bCs/>
          <w:color w:val="000000"/>
          <w:shd w:val="clear" w:color="auto" w:fill="FFFFFF"/>
        </w:rPr>
        <w:t xml:space="preserve">   制订出台《莆田市知识产权领域“放管服”改革优化创新环境和营商环境工作方案》（莆市监知运〔2021〕182号）及相关配套文件并组织实施，持续提升知识产权绩效管理和公共服务水平。一是加强省对市绩效考核指标管理，认真研判省对市绩效考评指标内函，精细化管理全市有效发明专利存量和增量，发明专利拥有量增幅排名全省第二名， “每万人有效发明专利拥有量”及其增长率绩效排名保持在全省第七和第五水平。二是完善知识产权信息公共服务体系。大力开展互联网+知识产权服务，通过市知识产权运营中心网站、知识产权微信工作群等，积极宣传“国家知识产权公共服务网”，指导社会公众通过网络平台一站式办理各类知识产权业务。组织认定莆田学院等4家企事业单位为市级知识产权信息公共服务网点，为社会提供便捷低成本的知识产权信息服务。获批设立莆田高新区、京东数字产业园2个“知创福建”知识产权综合公共服务平台园区工作站，引进中高端知识产权资源，开展了“工艺美术创新与专利导航分析”和“知识产权质押融资政银企服对接会”等活动，让知识产权服务更贴近园区企业，更好服务企业创新发展。推荐求索信息被认定为省级专利导航服务基地。三是引导企业加强知识产权管理。引导杰讯光电等10家企业通过知识产权管理规范认证并给予贯标经费补助，推荐4家企业获评省知识产权优势，并对10家省知识产权优势企业开展复核工作，提升企业知识产权创造和管理水平。四是积极开展非正常申请核查整改工作。严格规范专利申请行为，组织开展四批790件非正常专利申请核查，向专利申请人宣传国家知识产权局关于严格规范非正常专利申请政策，督促专利申请人和专利代理机构限期整改，撤回非正常专利申请，加强专利申请质量审核工作，提升专利申请质量。四是开展知识产权人才培训。依托中国知识产权远程教育平台莆田分站，组织市场监管系统人员、企业知识产权专员等参加“莆田市企业知识产权实务班”，导入43项课程，参训人数达61人，选课达601人次。</w:t>
      </w:r>
    </w:p>
    <w:p>
      <w:pPr>
        <w:snapToGrid w:val="0"/>
        <w:spacing w:line="560" w:lineRule="exact"/>
        <w:ind w:firstLine="600" w:firstLineChars="200"/>
        <w:rPr>
          <w:rFonts w:hint="eastAsia" w:ascii="仿宋_GB2312" w:hAnsi="仿宋_GB2312" w:eastAsia="仿宋_GB2312" w:cs="Times New Roman"/>
          <w:bCs/>
          <w:color w:val="000000"/>
          <w:shd w:val="clear" w:color="auto" w:fill="FFFFFF"/>
        </w:rPr>
      </w:pPr>
      <w:r>
        <w:rPr>
          <w:rFonts w:hint="eastAsia" w:ascii="仿宋_GB2312" w:hAnsi="仿宋_GB2312" w:eastAsia="仿宋_GB2312" w:cs="Times New Roman"/>
          <w:bCs/>
          <w:color w:val="000000"/>
          <w:shd w:val="clear" w:color="auto" w:fill="FFFFFF"/>
        </w:rPr>
        <w:t xml:space="preserve">2、落实营商环境整改工作，提升知识产权创造和运用水平。     </w:t>
      </w:r>
    </w:p>
    <w:p>
      <w:pPr>
        <w:snapToGrid w:val="0"/>
        <w:spacing w:line="560" w:lineRule="exact"/>
        <w:ind w:firstLine="600" w:firstLineChars="200"/>
        <w:rPr>
          <w:rFonts w:hint="eastAsia" w:ascii="仿宋_GB2312" w:hAnsi="仿宋_GB2312" w:eastAsia="仿宋_GB2312" w:cs="Times New Roman"/>
          <w:bCs/>
          <w:color w:val="000000"/>
          <w:shd w:val="clear" w:color="auto" w:fill="FFFFFF"/>
        </w:rPr>
      </w:pPr>
      <w:r>
        <w:rPr>
          <w:rFonts w:hint="eastAsia" w:ascii="仿宋_GB2312" w:hAnsi="仿宋_GB2312" w:eastAsia="仿宋_GB2312" w:cs="Times New Roman"/>
          <w:bCs/>
          <w:color w:val="000000"/>
          <w:shd w:val="clear" w:color="auto" w:fill="FFFFFF"/>
        </w:rPr>
        <w:t xml:space="preserve">  牵头制定《莆田市营商环境“知识产权创造、保护和运用”专项小组关于第三方评估问题的整改方案》（莆市监知运〔2021〕81号），协调法院、公安、人行、科技、文旅等部门共同推进营商环境专项整改工作，负责落实知识产权创造和运用指标任务。一是激励知识产权创造。积极宣传落实相关激励政策，全年资助授权发明专利122件，达60.75万元。督促各县区尽快落实知识产权激励政策，激发全社会发明创造热情。深入荔城经济开发区、电商小镇、高新区、等园区及企业，加强知识产权政策宣传力度，指导专利申请布局， 1-11月，全市专利授权4603件，比增10.97%，其中发明专利授权283件，比增92.52%，增幅居全省第2位。截至11月底，全市每万人口发明专利拥有量4.146件。二是促进知识产权运用。联合人行莆田中支督促各商业银行进一步开展知识产权质押贷款业务，开展知识产权质押融资“入园惠企”活动，聚焦莆田高新区组织召开“政银企服”质押融资对接会，宣传知识产权质押贷款政策、评估业务，指导专利权质押合同登记，打通政府、银行、评估机构、企业等知识产权质押融资服务链条，推动知识产权质押融资工作深入基层。截止2021年9月未，全市新增知识产权质押融资登记16笔，金额1.55亿元。积极推荐企业申报省级专利导航基地，引导仙游京东数字产业园围绕关键产业核心技术，开展工艺美术产业专利导航分析，推动专利导航融入创新主体决策过程。精心指导4家企业专利项目获得省局推荐申报中国专利奖，组织推荐10家企业申报2021年度福建省专利奖，着力提升企业优秀专利产品知名度与竞争力，助力企业高质量发展。    </w:t>
      </w:r>
    </w:p>
    <w:p>
      <w:pPr>
        <w:pStyle w:val="2"/>
        <w:rPr>
          <w:rFonts w:hint="eastAsia"/>
          <w:lang w:val="en-US" w:eastAsia="zh-CN"/>
        </w:rPr>
      </w:pPr>
    </w:p>
    <w:p>
      <w:pPr>
        <w:spacing w:line="600" w:lineRule="exa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（二）存在的问题</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结、分析影响项目绩效目标及预算资金使用效率的主要因素，以及项目管理、预算管理上的问题，要反映问题的表象和本质，不得简单将问题原因归咎为财政资金不到位等与项目管理无直接关系的因素，存在的问题要与相应的扣分指标相匹配）</w:t>
      </w:r>
    </w:p>
    <w:p>
      <w:pPr>
        <w:snapToGrid w:val="0"/>
        <w:spacing w:line="560" w:lineRule="exact"/>
        <w:ind w:firstLine="600" w:firstLineChars="200"/>
        <w:rPr>
          <w:rFonts w:hint="eastAsia" w:ascii="仿宋_GB2312" w:hAnsi="仿宋_GB2312" w:eastAsia="仿宋_GB2312" w:cs="Times New Roman"/>
          <w:bCs/>
          <w:color w:val="000000"/>
          <w:shd w:val="clear" w:color="auto" w:fill="FFFFFF"/>
        </w:rPr>
      </w:pPr>
      <w:r>
        <w:rPr>
          <w:rFonts w:hint="eastAsia" w:ascii="仿宋_GB2312" w:hAnsi="仿宋_GB2312" w:eastAsia="仿宋_GB2312" w:cs="Times New Roman"/>
          <w:bCs/>
          <w:color w:val="000000"/>
          <w:shd w:val="clear" w:color="auto" w:fill="FFFFFF"/>
        </w:rPr>
        <w:t>每万人发明专利拥有量较低。今年我市有效发明专利增长迅速，增幅居全省第2位。但因“每万人发明专利拥有量” 是计算历年累积量，我市存量低，企业知识产权创新意识和能力不足， “每万人口发明专利拥有量”为4.146件，仍居全省第7名。</w:t>
      </w:r>
    </w:p>
    <w:p>
      <w:pPr>
        <w:pStyle w:val="2"/>
        <w:rPr>
          <w:rFonts w:hint="eastAsia"/>
          <w:lang w:val="en-US" w:eastAsia="zh-CN"/>
        </w:rPr>
      </w:pPr>
    </w:p>
    <w:p>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六、</w:t>
      </w:r>
      <w:r>
        <w:rPr>
          <w:rFonts w:hint="eastAsia" w:ascii="黑体" w:hAnsi="黑体" w:eastAsia="黑体"/>
          <w:sz w:val="28"/>
          <w:szCs w:val="28"/>
          <w:lang w:val="en-US" w:eastAsia="zh-CN"/>
        </w:rPr>
        <w:t>有关</w:t>
      </w:r>
      <w:r>
        <w:rPr>
          <w:rFonts w:hint="eastAsia" w:ascii="黑体" w:hAnsi="黑体" w:eastAsia="黑体"/>
          <w:sz w:val="28"/>
          <w:szCs w:val="28"/>
        </w:rPr>
        <w:t>建议</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建议主要是对项目设立的必要性、项目实施方案等设计的科学性、预算资金投入的合理性、相关专项资金管理办法的健全性和可操作性提出建议</w:t>
      </w:r>
      <w:r>
        <w:rPr>
          <w:rFonts w:hint="eastAsia" w:ascii="仿宋" w:hAnsi="仿宋" w:eastAsia="仿宋" w:cs="仿宋"/>
          <w:sz w:val="28"/>
          <w:szCs w:val="28"/>
          <w:lang w:eastAsia="zh-CN"/>
        </w:rPr>
        <w:t>）</w:t>
      </w:r>
    </w:p>
    <w:p>
      <w:pPr>
        <w:pStyle w:val="2"/>
        <w:rPr>
          <w:rFonts w:hint="eastAsia"/>
          <w:lang w:eastAsia="zh-CN"/>
        </w:rPr>
      </w:pPr>
    </w:p>
    <w:p>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七、其他需要说明的问题</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1.绩效评价工作底稿（包括各项指标定义、评价标准及设置依据、指标数据来源、指标分值计算公式及过程、其他指标分值计算需说明的事项）。</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2.社会调查问卷汇总分析。</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3.其他</w:t>
      </w:r>
    </w:p>
    <w:p/>
    <w:sectPr>
      <w:headerReference r:id="rId3" w:type="default"/>
      <w:footerReference r:id="rId4" w:type="default"/>
      <w:pgSz w:w="11906" w:h="16838"/>
      <w:pgMar w:top="1928" w:right="1531" w:bottom="1701" w:left="1531" w:header="737" w:footer="851" w:gutter="0"/>
      <w:pgNumType w:fmt="numberInDash"/>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CBE0B"/>
    <w:multiLevelType w:val="singleLevel"/>
    <w:tmpl w:val="273CBE0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C4264"/>
    <w:rsid w:val="05343E8D"/>
    <w:rsid w:val="11805FBA"/>
    <w:rsid w:val="170E3A04"/>
    <w:rsid w:val="2567274A"/>
    <w:rsid w:val="298D74AD"/>
    <w:rsid w:val="32193F26"/>
    <w:rsid w:val="37F16FA5"/>
    <w:rsid w:val="38E635D7"/>
    <w:rsid w:val="39DD2265"/>
    <w:rsid w:val="3B3D3B11"/>
    <w:rsid w:val="3F0F688B"/>
    <w:rsid w:val="42AF26EB"/>
    <w:rsid w:val="439B782D"/>
    <w:rsid w:val="480E4950"/>
    <w:rsid w:val="4A7C4264"/>
    <w:rsid w:val="502F58C7"/>
    <w:rsid w:val="54E90D00"/>
    <w:rsid w:val="5D460A46"/>
    <w:rsid w:val="717C7522"/>
    <w:rsid w:val="75A24F97"/>
    <w:rsid w:val="7A507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99"/>
    <w:rPr>
      <w:sz w:val="18"/>
      <w:szCs w:val="18"/>
    </w:rPr>
  </w:style>
  <w:style w:type="paragraph" w:styleId="4">
    <w:name w:val="Body Text Indent"/>
    <w:basedOn w:val="1"/>
    <w:next w:val="1"/>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qFormat/>
    <w:uiPriority w:val="99"/>
    <w:pPr>
      <w:ind w:firstLine="420" w:firstLineChars="200"/>
    </w:pPr>
  </w:style>
  <w:style w:type="character" w:customStyle="1" w:styleId="11">
    <w:name w:val="font11"/>
    <w:basedOn w:val="10"/>
    <w:qFormat/>
    <w:uiPriority w:val="0"/>
    <w:rPr>
      <w:rFonts w:hint="eastAsia" w:ascii="宋体" w:hAnsi="宋体" w:eastAsia="宋体" w:cs="宋体"/>
      <w:color w:val="000000"/>
      <w:sz w:val="18"/>
      <w:szCs w:val="18"/>
      <w:u w:val="none"/>
    </w:rPr>
  </w:style>
  <w:style w:type="character" w:customStyle="1" w:styleId="12">
    <w:name w:val="font01"/>
    <w:basedOn w:val="10"/>
    <w:qFormat/>
    <w:uiPriority w:val="0"/>
    <w:rPr>
      <w:rFonts w:hint="eastAsia" w:ascii="宋体" w:hAnsi="宋体" w:eastAsia="宋体" w:cs="宋体"/>
      <w:b/>
      <w:bCs/>
      <w:color w:val="000000"/>
      <w:sz w:val="18"/>
      <w:szCs w:val="18"/>
      <w:u w:val="none"/>
    </w:rPr>
  </w:style>
  <w:style w:type="character" w:customStyle="1" w:styleId="13">
    <w:name w:val="font71"/>
    <w:basedOn w:val="10"/>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19</Pages>
  <Words>9039</Words>
  <Characters>9441</Characters>
  <Lines>0</Lines>
  <Paragraphs>0</Paragraphs>
  <TotalTime>30</TotalTime>
  <ScaleCrop>false</ScaleCrop>
  <LinksUpToDate>false</LinksUpToDate>
  <CharactersWithSpaces>9607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2022-01-13T07:59:00Z</dcterms:created>
  <dc:creator>戴建军</dc:creator>
  <cp:lastModifiedBy>蔡楠</cp:lastModifiedBy>
  <cp:lastPrinted>2022-01-17T06:21:00Z</cp:lastPrinted>
  <dcterms:modified xsi:type="dcterms:W3CDTF">2022-03-28T01:03:57Z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7F7B4713066C45058A3DEDD585928478</vt:lpwstr>
  </property>
</Properties>
</file>